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ind w:right="-284"/>
        <w:jc w:val="center"/>
        <w:rPr>
          <w:rFonts w:ascii="Times New Roman" w:hAnsi="Times New Roman"/>
          <w:b w:val="1"/>
          <w:sz w:val="28"/>
          <w:szCs w:val="28"/>
          <w:lang w:val="uk-UA"/>
        </w:rPr>
      </w:pPr>
      <w:r>
        <w:rPr>
          <w:rFonts w:ascii="Times New Roman" w:hAnsi="Times New Roman"/>
          <w:b w:val="1"/>
          <w:sz w:val="28"/>
          <w:szCs w:val="28"/>
          <w:lang w:val="uk-UA"/>
        </w:rPr>
        <w:t>ПОЯСНЮВАЛЬНА ЗАПИСКА</w:t>
      </w:r>
    </w:p>
    <w:p>
      <w:pPr>
        <w:ind w:right="-284"/>
        <w:jc w:val="center"/>
        <w:rPr>
          <w:rFonts w:ascii="Times New Roman" w:hAnsi="Times New Roman"/>
          <w:b w:val="1"/>
          <w:sz w:val="28"/>
          <w:szCs w:val="28"/>
          <w:lang w:val="uk-UA"/>
        </w:rPr>
      </w:pPr>
    </w:p>
    <w:p>
      <w:pPr>
        <w:spacing w:lineRule="auto" w:line="240" w:beforeAutospacing="0" w:afterAutospacing="0"/>
        <w:ind w:left="425"/>
        <w:jc w:val="both"/>
        <w:rPr>
          <w:rFonts w:ascii="Times New Roman" w:hAnsi="Times New Roman"/>
          <w:b w:val="1"/>
          <w:sz w:val="28"/>
          <w:lang w:val="uk-UA"/>
        </w:rPr>
      </w:pPr>
      <w:r>
        <w:rPr>
          <w:rFonts w:ascii="Times New Roman" w:hAnsi="Times New Roman"/>
          <w:sz w:val="28"/>
          <w:szCs w:val="28"/>
          <w:lang w:val="uk-UA"/>
        </w:rPr>
        <w:t>до проєкту рішення Броварської міської ради Броварського району Київської області</w:t>
      </w:r>
      <w:r>
        <w:rPr>
          <w:rFonts w:ascii="Times New Roman" w:hAnsi="Times New Roman"/>
          <w:b w:val="1"/>
          <w:sz w:val="28"/>
          <w:szCs w:val="28"/>
          <w:lang w:val="uk-UA"/>
        </w:rPr>
        <w:t xml:space="preserve"> </w:t>
      </w:r>
      <w:bookmarkStart w:id="0" w:name="_Hlk121493135"/>
      <w:r>
        <w:rPr>
          <w:rFonts w:ascii="Times New Roman" w:hAnsi="Times New Roman"/>
          <w:b w:val="1"/>
          <w:sz w:val="28"/>
          <w:szCs w:val="28"/>
          <w:lang w:val="uk-UA"/>
        </w:rPr>
        <w:t>«</w:t>
      </w:r>
      <w:r>
        <w:rPr>
          <w:rFonts w:ascii="Times New Roman" w:hAnsi="Times New Roman"/>
          <w:b w:val="1"/>
          <w:sz w:val="28"/>
          <w:lang w:val="uk-UA"/>
        </w:rPr>
        <w:t xml:space="preserve">Про внесення змін до Програми відзначення державних та професійних свят, ювілейних дат та святкування Дня міста Бровари, заохочення за заслуги перед Броварською міською територіальною громадою на 2022-2026 роки» </w:t>
      </w:r>
      <w:bookmarkEnd w:id="0"/>
    </w:p>
    <w:p>
      <w:pPr>
        <w:suppressAutoHyphens w:val="1"/>
        <w:spacing w:lineRule="auto" w:line="240" w:beforeAutospacing="0" w:afterAutospacing="0"/>
        <w:jc w:val="both"/>
        <w:rPr>
          <w:rFonts w:ascii="Times New Roman" w:hAnsi="Times New Roman"/>
          <w:sz w:val="28"/>
          <w:szCs w:val="28"/>
        </w:rPr>
      </w:pPr>
      <w:r>
        <w:rPr>
          <w:rFonts w:ascii="Times New Roman" w:hAnsi="Times New Roman"/>
          <w:sz w:val="28"/>
          <w:szCs w:val="28"/>
        </w:rPr>
        <w:t>Пояснювальна записка підготовлена</w:t>
      </w:r>
      <w:r>
        <w:rPr>
          <w:rFonts w:ascii="Times New Roman" w:hAnsi="Times New Roman"/>
          <w:sz w:val="28"/>
          <w:szCs w:val="28"/>
          <w:lang w:val="uk-UA"/>
        </w:rPr>
        <w:t xml:space="preserve"> </w:t>
      </w:r>
      <w:r>
        <w:rPr>
          <w:rFonts w:ascii="Times New Roman" w:hAnsi="Times New Roman"/>
          <w:sz w:val="28"/>
          <w:szCs w:val="28"/>
        </w:rPr>
        <w:t>відповідно до ст</w:t>
      </w:r>
      <w:r>
        <w:rPr>
          <w:rFonts w:ascii="Times New Roman" w:hAnsi="Times New Roman"/>
          <w:sz w:val="28"/>
          <w:szCs w:val="28"/>
          <w:lang w:val="uk-UA"/>
        </w:rPr>
        <w:t>атті</w:t>
      </w:r>
      <w:r>
        <w:rPr>
          <w:rFonts w:ascii="Times New Roman" w:hAnsi="Times New Roman"/>
          <w:sz w:val="28"/>
          <w:szCs w:val="28"/>
        </w:rPr>
        <w:t xml:space="preserve"> 20 Регламенту Броварської</w:t>
      </w:r>
      <w:r>
        <w:rPr>
          <w:rFonts w:ascii="Times New Roman" w:hAnsi="Times New Roman"/>
          <w:sz w:val="28"/>
          <w:szCs w:val="28"/>
          <w:lang w:val="uk-UA"/>
        </w:rPr>
        <w:t xml:space="preserve"> </w:t>
      </w:r>
      <w:r>
        <w:rPr>
          <w:rFonts w:ascii="Times New Roman" w:hAnsi="Times New Roman"/>
          <w:sz w:val="28"/>
          <w:szCs w:val="28"/>
        </w:rPr>
        <w:t xml:space="preserve">міської ради </w:t>
      </w:r>
      <w:r>
        <w:rPr>
          <w:rFonts w:ascii="Times New Roman" w:hAnsi="Times New Roman"/>
          <w:sz w:val="28"/>
          <w:szCs w:val="28"/>
          <w:lang w:val="uk-UA"/>
        </w:rPr>
        <w:t xml:space="preserve">Броварського району </w:t>
      </w:r>
      <w:r>
        <w:rPr>
          <w:rFonts w:ascii="Times New Roman" w:hAnsi="Times New Roman"/>
          <w:sz w:val="28"/>
          <w:szCs w:val="28"/>
        </w:rPr>
        <w:t>Київської</w:t>
      </w:r>
      <w:r>
        <w:rPr>
          <w:rFonts w:ascii="Times New Roman" w:hAnsi="Times New Roman"/>
          <w:sz w:val="28"/>
          <w:szCs w:val="28"/>
          <w:lang w:val="uk-UA"/>
        </w:rPr>
        <w:t xml:space="preserve"> </w:t>
      </w:r>
      <w:r>
        <w:rPr>
          <w:rFonts w:ascii="Times New Roman" w:hAnsi="Times New Roman"/>
          <w:sz w:val="28"/>
          <w:szCs w:val="28"/>
        </w:rPr>
        <w:t>області</w:t>
      </w:r>
      <w:r>
        <w:rPr>
          <w:rFonts w:ascii="Times New Roman" w:hAnsi="Times New Roman"/>
          <w:sz w:val="28"/>
          <w:szCs w:val="28"/>
          <w:lang w:val="uk-UA"/>
        </w:rPr>
        <w:t xml:space="preserve"> VIII скликання</w:t>
      </w:r>
      <w:r>
        <w:rPr>
          <w:rFonts w:ascii="Times New Roman" w:hAnsi="Times New Roman"/>
          <w:sz w:val="28"/>
          <w:szCs w:val="28"/>
        </w:rPr>
        <w:t>.</w:t>
      </w:r>
    </w:p>
    <w:p>
      <w:pPr>
        <w:keepNext w:val="1"/>
        <w:numPr>
          <w:ilvl w:val="1"/>
          <w:numId w:val="1"/>
        </w:numPr>
        <w:suppressAutoHyphens w:val="1"/>
        <w:spacing w:lineRule="auto" w:line="240" w:beforeAutospacing="0" w:afterAutospacing="0"/>
        <w:ind w:firstLine="686" w:left="14"/>
        <w:outlineLvl w:val="1"/>
        <w:rPr>
          <w:rFonts w:ascii="Times New Roman" w:hAnsi="Times New Roman"/>
          <w:b w:val="1"/>
          <w:sz w:val="28"/>
          <w:szCs w:val="28"/>
          <w:lang w:eastAsia="zh-CN"/>
        </w:rPr>
      </w:pPr>
      <w:r>
        <w:rPr>
          <w:rFonts w:ascii="Times New Roman" w:hAnsi="Times New Roman"/>
          <w:b w:val="1"/>
          <w:sz w:val="28"/>
          <w:szCs w:val="28"/>
          <w:lang w:eastAsia="zh-CN"/>
        </w:rPr>
        <w:t>1. Обґрунтування</w:t>
      </w:r>
      <w:r>
        <w:rPr>
          <w:rFonts w:ascii="Times New Roman" w:hAnsi="Times New Roman"/>
          <w:b w:val="1"/>
          <w:sz w:val="28"/>
          <w:szCs w:val="28"/>
          <w:lang w:val="uk-UA" w:eastAsia="zh-CN"/>
        </w:rPr>
        <w:t xml:space="preserve"> </w:t>
      </w:r>
      <w:r>
        <w:rPr>
          <w:rFonts w:ascii="Times New Roman" w:hAnsi="Times New Roman"/>
          <w:b w:val="1"/>
          <w:sz w:val="28"/>
          <w:szCs w:val="28"/>
          <w:lang w:eastAsia="zh-CN"/>
        </w:rPr>
        <w:t>необхідності</w:t>
      </w:r>
      <w:r>
        <w:rPr>
          <w:rFonts w:ascii="Times New Roman" w:hAnsi="Times New Roman"/>
          <w:b w:val="1"/>
          <w:sz w:val="28"/>
          <w:szCs w:val="28"/>
          <w:lang w:val="uk-UA" w:eastAsia="zh-CN"/>
        </w:rPr>
        <w:t xml:space="preserve"> </w:t>
      </w:r>
      <w:r>
        <w:rPr>
          <w:rFonts w:ascii="Times New Roman" w:hAnsi="Times New Roman"/>
          <w:b w:val="1"/>
          <w:sz w:val="28"/>
          <w:szCs w:val="28"/>
          <w:lang w:eastAsia="zh-CN"/>
        </w:rPr>
        <w:t>прийняття</w:t>
      </w:r>
      <w:r>
        <w:rPr>
          <w:rFonts w:ascii="Times New Roman" w:hAnsi="Times New Roman"/>
          <w:b w:val="1"/>
          <w:sz w:val="28"/>
          <w:szCs w:val="28"/>
          <w:lang w:val="uk-UA" w:eastAsia="zh-CN"/>
        </w:rPr>
        <w:t xml:space="preserve"> </w:t>
      </w:r>
      <w:r>
        <w:rPr>
          <w:rFonts w:ascii="Times New Roman" w:hAnsi="Times New Roman"/>
          <w:b w:val="1"/>
          <w:sz w:val="28"/>
          <w:szCs w:val="28"/>
          <w:lang w:eastAsia="zh-CN"/>
        </w:rPr>
        <w:t>рішення</w:t>
      </w:r>
      <w:r>
        <w:rPr>
          <w:rFonts w:ascii="Times New Roman" w:hAnsi="Times New Roman"/>
          <w:b w:val="1"/>
          <w:sz w:val="28"/>
          <w:szCs w:val="28"/>
          <w:lang w:val="uk-UA" w:eastAsia="zh-CN"/>
        </w:rPr>
        <w:t>.</w:t>
      </w:r>
    </w:p>
    <w:p>
      <w:pPr>
        <w:spacing w:lineRule="auto" w:line="240" w:after="0" w:beforeAutospacing="0" w:afterAutospacing="0"/>
        <w:ind w:firstLine="720"/>
        <w:jc w:val="both"/>
        <w:rPr>
          <w:rFonts w:ascii="Times New Roman" w:hAnsi="Times New Roman"/>
          <w:sz w:val="28"/>
          <w:szCs w:val="28"/>
          <w:lang w:val="uk-UA" w:eastAsia="en-US"/>
        </w:rPr>
      </w:pPr>
      <w:r>
        <w:rPr>
          <w:rFonts w:ascii="Times New Roman" w:hAnsi="Times New Roman"/>
          <w:sz w:val="28"/>
          <w:szCs w:val="28"/>
          <w:lang w:val="uk-UA" w:eastAsia="en-US"/>
        </w:rPr>
        <w:t>Броварська міська рада, є органом місцевого самоврядування, який представляє Броварську міську територіальну громаду, дбає про зміцнення засад місцевого самоврядування як необхідної складової розвитку громадянського суспільства і як ефективного механізму забезпечення прав, свобод та потреб членів Броварської міської територіальної громади.</w:t>
      </w:r>
    </w:p>
    <w:p>
      <w:pPr>
        <w:spacing w:lineRule="auto" w:line="240" w:after="0" w:beforeAutospacing="0" w:afterAutospacing="0"/>
        <w:ind w:firstLine="567"/>
        <w:contextualSpacing w:val="1"/>
        <w:jc w:val="both"/>
        <w:rPr>
          <w:rFonts w:ascii="Times New Roman" w:hAnsi="Times New Roman"/>
          <w:bCs w:val="1"/>
          <w:sz w:val="28"/>
          <w:szCs w:val="28"/>
          <w:lang w:val="uk-UA"/>
        </w:rPr>
      </w:pPr>
      <w:r>
        <w:rPr>
          <w:rFonts w:ascii="Times New Roman" w:hAnsi="Times New Roman"/>
          <w:sz w:val="28"/>
          <w:szCs w:val="28"/>
          <w:lang w:val="uk-UA" w:eastAsia="en-US"/>
        </w:rPr>
        <w:t>Одним із напрямків роботи Броварської міської ради та її виконавчого комітету є забезпечення відзначення на міському рівні загальнодержавних свят та заходів, проведення загальноміських свят, організація та прийом офіційних делегацій з метою зміцнення економічної, соціальної, культурної, громадської та інших сфер суспільного життя Броварської міської територіальної громади.</w:t>
      </w:r>
      <w:r>
        <w:rPr>
          <w:rFonts w:ascii="Times New Roman" w:hAnsi="Times New Roman"/>
          <w:bCs w:val="1"/>
          <w:sz w:val="28"/>
          <w:szCs w:val="28"/>
          <w:lang w:val="uk-UA"/>
        </w:rPr>
        <w:t xml:space="preserve"> </w:t>
      </w:r>
    </w:p>
    <w:p>
      <w:pPr>
        <w:spacing w:lineRule="auto" w:line="240" w:beforeAutospacing="0" w:afterAutospacing="0"/>
        <w:ind w:firstLine="567"/>
        <w:jc w:val="both"/>
        <w:rPr>
          <w:rFonts w:ascii="Times New Roman" w:hAnsi="Times New Roman"/>
          <w:bCs w:val="1"/>
          <w:sz w:val="28"/>
          <w:szCs w:val="28"/>
          <w:lang w:val="uk-UA"/>
        </w:rPr>
      </w:pPr>
      <w:r>
        <w:rPr>
          <w:rFonts w:ascii="Times New Roman" w:hAnsi="Times New Roman"/>
          <w:bCs w:val="1"/>
          <w:sz w:val="28"/>
          <w:szCs w:val="28"/>
          <w:lang w:val="uk-UA"/>
        </w:rPr>
        <w:t>Необхідність прийняття проєкту даного рішення обумовлена</w:t>
      </w:r>
      <w:r>
        <w:rPr>
          <w:rFonts w:ascii="Calibri" w:hAnsi="Calibri"/>
          <w:lang w:val="uk-UA" w:eastAsia="en-US"/>
        </w:rPr>
        <w:t xml:space="preserve"> </w:t>
      </w:r>
      <w:r>
        <w:rPr>
          <w:rFonts w:ascii="Times New Roman" w:hAnsi="Times New Roman"/>
          <w:bCs w:val="1"/>
          <w:sz w:val="28"/>
          <w:szCs w:val="28"/>
          <w:lang w:val="uk-UA"/>
        </w:rPr>
        <w:t>здійсненням своєчасної закупівлі пам’ятних подарунків для організації прийому офіційних делегацій.</w:t>
      </w:r>
    </w:p>
    <w:p>
      <w:pPr>
        <w:tabs>
          <w:tab w:val="left" w:pos="1134" w:leader="none"/>
          <w:tab w:val="left" w:pos="1276" w:leader="none"/>
        </w:tabs>
        <w:suppressAutoHyphens w:val="1"/>
        <w:spacing w:lineRule="auto" w:line="240" w:beforeAutospacing="0" w:afterAutospacing="0"/>
        <w:ind w:firstLine="686"/>
        <w:jc w:val="both"/>
        <w:rPr>
          <w:rFonts w:ascii="Times New Roman" w:hAnsi="Times New Roman"/>
          <w:b w:val="1"/>
          <w:color w:val="000000"/>
          <w:sz w:val="28"/>
          <w:szCs w:val="28"/>
          <w:lang w:val="uk-UA" w:eastAsia="zh-CN"/>
        </w:rPr>
      </w:pPr>
      <w:r>
        <w:rPr>
          <w:rFonts w:ascii="Times New Roman" w:hAnsi="Times New Roman"/>
          <w:b w:val="1"/>
          <w:color w:val="000000"/>
          <w:sz w:val="28"/>
          <w:szCs w:val="28"/>
          <w:lang w:val="uk-UA" w:eastAsia="zh-CN"/>
        </w:rPr>
        <w:t>2. Мета і шляхи її досягнення.</w:t>
      </w:r>
    </w:p>
    <w:p>
      <w:pPr>
        <w:widowControl w:val="0"/>
        <w:tabs>
          <w:tab w:val="left" w:pos="0" w:leader="none"/>
        </w:tabs>
        <w:spacing w:lineRule="auto" w:line="240" w:beforeAutospacing="0" w:afterAutospacing="0"/>
        <w:jc w:val="both"/>
        <w:rPr>
          <w:rFonts w:ascii="Times New Roman" w:hAnsi="Times New Roman"/>
          <w:sz w:val="28"/>
          <w:szCs w:val="28"/>
          <w:lang w:val="uk-UA" w:eastAsia="en-US"/>
        </w:rPr>
      </w:pPr>
      <w:r>
        <w:rPr>
          <w:rFonts w:ascii="Times New Roman" w:hAnsi="Times New Roman"/>
          <w:sz w:val="28"/>
          <w:szCs w:val="28"/>
          <w:lang w:val="uk-UA"/>
        </w:rPr>
        <w:tab/>
        <w:t>Проєкт рішення</w:t>
      </w:r>
      <w:r>
        <w:rPr>
          <w:rFonts w:ascii="Times New Roman" w:hAnsi="Times New Roman"/>
          <w:b w:val="1"/>
          <w:sz w:val="28"/>
          <w:szCs w:val="28"/>
          <w:lang w:val="uk-UA"/>
        </w:rPr>
        <w:t xml:space="preserve"> </w:t>
      </w:r>
      <w:r>
        <w:rPr>
          <w:rFonts w:ascii="Times New Roman" w:hAnsi="Times New Roman"/>
          <w:sz w:val="28"/>
          <w:szCs w:val="28"/>
          <w:lang w:val="uk-UA"/>
        </w:rPr>
        <w:t>Броварської міської ради Броварського району Київської області «</w:t>
      </w:r>
      <w:r>
        <w:rPr>
          <w:rFonts w:ascii="Times New Roman" w:hAnsi="Times New Roman"/>
          <w:sz w:val="28"/>
          <w:lang w:val="uk-UA"/>
        </w:rPr>
        <w:t>Про внесення змін до Програми відзначення державних та професійних свят, ювілейних дат та святкування Дня міста Бровари, заохочення за заслуги перед Броварською міською територіальною громадою на 2022-2026 роки»</w:t>
      </w:r>
      <w:r>
        <w:rPr>
          <w:rFonts w:ascii="Times New Roman" w:hAnsi="Times New Roman"/>
          <w:b w:val="1"/>
          <w:sz w:val="28"/>
          <w:lang w:val="uk-UA"/>
        </w:rPr>
        <w:t xml:space="preserve"> </w:t>
      </w:r>
      <w:r>
        <w:rPr>
          <w:rFonts w:ascii="Times New Roman" w:hAnsi="Times New Roman"/>
          <w:sz w:val="28"/>
          <w:lang w:val="uk-UA"/>
        </w:rPr>
        <w:t>(далі – проєкт рішення)</w:t>
      </w:r>
      <w:r>
        <w:rPr>
          <w:rFonts w:ascii="Times New Roman" w:hAnsi="Times New Roman"/>
          <w:b w:val="1"/>
          <w:sz w:val="28"/>
          <w:lang w:val="uk-UA"/>
        </w:rPr>
        <w:t xml:space="preserve"> </w:t>
      </w:r>
      <w:r>
        <w:rPr>
          <w:rFonts w:ascii="Times New Roman" w:hAnsi="Times New Roman"/>
          <w:sz w:val="28"/>
          <w:lang w:val="uk-UA"/>
        </w:rPr>
        <w:t xml:space="preserve">розроблений з метою </w:t>
      </w:r>
      <w:r>
        <w:rPr>
          <w:rFonts w:ascii="Times New Roman" w:hAnsi="Times New Roman"/>
          <w:sz w:val="28"/>
          <w:szCs w:val="28"/>
          <w:lang w:val="uk-UA" w:eastAsia="en-US"/>
        </w:rPr>
        <w:t xml:space="preserve">забезпечення високого рівня підготовки та проведення урочистих заходів у Броварської міській територіальній громаді з нагоди відзначення свят державного, обласного, місцевого значення, належної організаціїї прийому офіційних делегацій,  урочистих заходів до пам’ятних дат та історичних подій, професійних свят та інших знаменних дат.</w:t>
      </w:r>
    </w:p>
    <w:p>
      <w:pPr>
        <w:suppressAutoHyphens w:val="1"/>
        <w:spacing w:lineRule="auto" w:line="240" w:beforeAutospacing="0" w:afterAutospacing="0"/>
        <w:ind w:firstLine="720"/>
        <w:jc w:val="both"/>
        <w:rPr>
          <w:rFonts w:ascii="Times New Roman" w:hAnsi="Times New Roman"/>
          <w:b w:val="1"/>
          <w:color w:val="000000"/>
          <w:sz w:val="28"/>
          <w:szCs w:val="28"/>
          <w:lang w:val="uk-UA" w:eastAsia="zh-CN"/>
        </w:rPr>
      </w:pPr>
      <w:r>
        <w:rPr>
          <w:rFonts w:ascii="Times New Roman" w:hAnsi="Times New Roman"/>
          <w:b w:val="1"/>
          <w:color w:val="000000"/>
          <w:sz w:val="28"/>
          <w:szCs w:val="28"/>
          <w:lang w:val="uk-UA" w:eastAsia="zh-CN"/>
        </w:rPr>
        <w:t>3.Правові аспекти.</w:t>
      </w:r>
    </w:p>
    <w:p>
      <w:pPr>
        <w:spacing w:lineRule="auto" w:line="240" w:beforeAutospacing="0" w:afterAutospacing="0"/>
        <w:ind w:firstLine="720"/>
        <w:jc w:val="both"/>
        <w:rPr>
          <w:rFonts w:ascii="Times New Roman" w:hAnsi="Times New Roman"/>
          <w:sz w:val="28"/>
          <w:szCs w:val="28"/>
          <w:lang w:val="uk-UA" w:eastAsia="en-US"/>
        </w:rPr>
      </w:pPr>
      <w:r>
        <w:rPr>
          <w:rFonts w:ascii="Times New Roman" w:hAnsi="Times New Roman"/>
          <w:sz w:val="28"/>
          <w:szCs w:val="28"/>
          <w:lang w:val="uk-UA"/>
        </w:rPr>
        <w:t>Про</w:t>
      </w:r>
      <w:r>
        <w:rPr>
          <w:rFonts w:ascii="Times New Roman" w:hAnsi="Times New Roman"/>
          <w:smallCaps w:val="0"/>
          <w:sz w:val="28"/>
          <w:szCs w:val="22"/>
          <w:cs w:val="0"/>
          <w:spacing w:val="0"/>
          <w:w w:val="100"/>
          <w:position w:val="0"/>
          <w:snapToGrid w:val="1"/>
          <w:lang w:val="uk-UA"/>
        </w:rPr>
        <w:t>є</w:t>
      </w:r>
      <w:r>
        <w:rPr>
          <w:rFonts w:ascii="Times New Roman" w:hAnsi="Times New Roman"/>
          <w:sz w:val="28"/>
          <w:szCs w:val="28"/>
          <w:lang w:val="uk-UA"/>
        </w:rPr>
        <w:t xml:space="preserve">кт рішення </w:t>
      </w:r>
      <w:r>
        <w:rPr>
          <w:rFonts w:ascii="Times New Roman" w:hAnsi="Times New Roman"/>
          <w:sz w:val="28"/>
          <w:szCs w:val="28"/>
          <w:lang w:val="uk-UA" w:eastAsia="en-US"/>
        </w:rPr>
        <w:t>розроблений на підставі Закону України «Про місцеве самоврядування в Україні», Бюджетного кодексу України, Указів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Указів Президента України щодо встановлення професійних свят і пам’ятних дат та інших нормативно-правових актів України.</w:t>
      </w:r>
    </w:p>
    <w:p>
      <w:pPr>
        <w:suppressAutoHyphens w:val="1"/>
        <w:spacing w:lineRule="auto" w:line="240" w:beforeAutospacing="0" w:afterAutospacing="0"/>
        <w:ind w:firstLine="720"/>
        <w:jc w:val="both"/>
        <w:rPr>
          <w:rFonts w:ascii="Times New Roman" w:hAnsi="Times New Roman"/>
          <w:b w:val="1"/>
          <w:color w:val="000000"/>
          <w:sz w:val="28"/>
          <w:szCs w:val="28"/>
          <w:lang w:val="uk-UA" w:eastAsia="zh-CN"/>
        </w:rPr>
      </w:pPr>
      <w:r>
        <w:rPr>
          <w:rFonts w:ascii="Times New Roman" w:hAnsi="Times New Roman"/>
          <w:b w:val="1"/>
          <w:color w:val="000000"/>
          <w:sz w:val="28"/>
          <w:szCs w:val="28"/>
          <w:lang w:val="uk-UA" w:eastAsia="zh-CN"/>
        </w:rPr>
        <w:t>4. Фінансово-економічне обґрунтування.</w:t>
      </w:r>
    </w:p>
    <w:p>
      <w:pPr>
        <w:spacing w:lineRule="auto" w:line="240" w:beforeAutospacing="0" w:afterAutospacing="0"/>
        <w:ind w:firstLine="740"/>
        <w:jc w:val="both"/>
        <w:rPr>
          <w:rFonts w:ascii="Times New Roman" w:hAnsi="Times New Roman"/>
          <w:sz w:val="28"/>
          <w:szCs w:val="28"/>
          <w:lang w:val="uk-UA" w:eastAsia="en-US"/>
        </w:rPr>
      </w:pPr>
      <w:r>
        <w:rPr>
          <w:rFonts w:ascii="Times New Roman" w:hAnsi="Times New Roman"/>
          <w:sz w:val="28"/>
          <w:szCs w:val="28"/>
          <w:lang w:val="uk-UA" w:eastAsia="en-US"/>
        </w:rPr>
        <w:t>Фінансування заходів Програми в процесі їх реалізації здійснюється за рахунок коштів бюджету Броварської міської територіальної громади (в межах коштів, передбачених на відповідний бюджетний період) та інших джерел фінансування, не заборонених чинним законодавством України.</w:t>
      </w:r>
    </w:p>
    <w:p>
      <w:pPr>
        <w:suppressAutoHyphens w:val="1"/>
        <w:spacing w:lineRule="auto" w:line="240" w:beforeAutospacing="0" w:afterAutospacing="0"/>
        <w:ind w:firstLine="709"/>
        <w:jc w:val="both"/>
        <w:rPr>
          <w:rFonts w:ascii="Times New Roman" w:hAnsi="Times New Roman"/>
          <w:b w:val="1"/>
          <w:color w:val="000000"/>
          <w:sz w:val="28"/>
          <w:szCs w:val="28"/>
          <w:lang w:val="uk-UA" w:eastAsia="zh-CN"/>
        </w:rPr>
      </w:pPr>
      <w:r>
        <w:rPr>
          <w:rFonts w:ascii="Times New Roman" w:hAnsi="Times New Roman"/>
          <w:b w:val="1"/>
          <w:color w:val="000000"/>
          <w:sz w:val="28"/>
          <w:szCs w:val="28"/>
          <w:lang w:val="uk-UA" w:eastAsia="zh-CN"/>
        </w:rPr>
        <w:t>5. Прогноз результатів.</w:t>
      </w:r>
    </w:p>
    <w:p>
      <w:pPr>
        <w:spacing w:lineRule="auto" w:line="240" w:beforeAutospacing="0" w:afterAutospacing="0"/>
        <w:ind w:firstLine="720"/>
        <w:jc w:val="both"/>
        <w:rPr>
          <w:rFonts w:ascii="Times New Roman" w:hAnsi="Times New Roman"/>
          <w:sz w:val="28"/>
          <w:szCs w:val="28"/>
          <w:lang w:val="uk-UA" w:eastAsia="en-US"/>
        </w:rPr>
      </w:pPr>
      <w:r>
        <w:rPr>
          <w:rFonts w:ascii="Times New Roman" w:hAnsi="Times New Roman"/>
          <w:sz w:val="28"/>
          <w:szCs w:val="28"/>
          <w:lang w:val="uk-UA" w:eastAsia="en-US"/>
        </w:rPr>
        <w:t>Реалізація цієї Програми сприятиме удосконаленню нагородної справи на території Броварської міської територіальної громади, забезпеченню її розвитку на засадах демократичності, відкритості, гласності та прозорості, підвищенню соціального значення міських нагород, комплексного розв'язання правових, організаційних та інших проблем у цій сфері.</w:t>
      </w:r>
    </w:p>
    <w:p>
      <w:pPr>
        <w:numPr>
          <w:ilvl w:val="0"/>
          <w:numId w:val="2"/>
        </w:numPr>
        <w:spacing w:lineRule="auto" w:line="256" w:beforeAutospacing="0" w:afterAutospacing="0"/>
        <w:contextualSpacing w:val="1"/>
        <w:jc w:val="both"/>
        <w:rPr>
          <w:rFonts w:ascii="Times New Roman" w:hAnsi="Times New Roman"/>
          <w:b w:val="1"/>
          <w:sz w:val="28"/>
          <w:szCs w:val="28"/>
          <w:lang w:val="uk-UA"/>
        </w:rPr>
      </w:pPr>
      <w:r>
        <w:rPr>
          <w:rFonts w:ascii="Times New Roman" w:hAnsi="Times New Roman"/>
          <w:b w:val="1"/>
          <w:sz w:val="28"/>
          <w:szCs w:val="28"/>
          <w:lang w:val="uk-UA"/>
        </w:rPr>
        <w:t>Суб’єкт подання проєкту рішення</w:t>
      </w:r>
    </w:p>
    <w:p>
      <w:pPr>
        <w:numPr>
          <w:ilvl w:val="0"/>
          <w:numId w:val="3"/>
        </w:numPr>
        <w:spacing w:lineRule="auto" w:line="240" w:beforeAutospacing="0" w:afterAutospacing="0"/>
        <w:ind w:firstLine="567"/>
        <w:contextualSpacing w:val="1"/>
        <w:jc w:val="both"/>
        <w:rPr>
          <w:rFonts w:ascii="Times New Roman" w:hAnsi="Times New Roman"/>
          <w:bCs w:val="1"/>
          <w:sz w:val="28"/>
          <w:szCs w:val="28"/>
          <w:lang w:val="uk-UA"/>
        </w:rPr>
      </w:pPr>
      <w:r>
        <w:rPr>
          <w:rFonts w:ascii="Times New Roman" w:hAnsi="Times New Roman"/>
          <w:bCs w:val="1"/>
          <w:sz w:val="28"/>
          <w:szCs w:val="28"/>
          <w:lang w:val="uk-UA"/>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pPr>
        <w:numPr>
          <w:ilvl w:val="0"/>
          <w:numId w:val="3"/>
        </w:numPr>
        <w:spacing w:lineRule="auto" w:line="240" w:beforeAutospacing="0" w:afterAutospacing="0"/>
        <w:ind w:firstLine="567"/>
        <w:contextualSpacing w:val="1"/>
        <w:jc w:val="both"/>
        <w:rPr>
          <w:rFonts w:ascii="Times New Roman" w:hAnsi="Times New Roman"/>
          <w:sz w:val="28"/>
          <w:szCs w:val="28"/>
          <w:lang w:val="uk-UA"/>
        </w:rPr>
      </w:pPr>
      <w:r>
        <w:rPr>
          <w:rFonts w:ascii="Times New Roman" w:hAnsi="Times New Roman"/>
          <w:sz w:val="28"/>
          <w:szCs w:val="28"/>
          <w:lang w:val="uk-UA"/>
        </w:rPr>
        <w:t>Керівник управління – К</w:t>
      </w:r>
      <w:r>
        <w:rPr>
          <w:rFonts w:ascii="Times New Roman" w:hAnsi="Times New Roman"/>
          <w:smallCaps w:val="0"/>
          <w:sz w:val="28"/>
          <w:szCs w:val="22"/>
          <w:cs w:val="0"/>
          <w:spacing w:val="0"/>
          <w:w w:val="100"/>
          <w:position w:val="0"/>
          <w:snapToGrid w:val="1"/>
          <w:lang w:val="uk-UA"/>
        </w:rPr>
        <w:t>УЗНЄЦОВ</w:t>
      </w:r>
      <w:r>
        <w:rPr>
          <w:rFonts w:ascii="Times New Roman" w:hAnsi="Times New Roman"/>
          <w:sz w:val="28"/>
          <w:szCs w:val="28"/>
          <w:lang w:val="uk-UA"/>
        </w:rPr>
        <w:t xml:space="preserve"> Костянтин Валентинович.</w:t>
      </w:r>
    </w:p>
    <w:p>
      <w:pPr>
        <w:numPr>
          <w:ilvl w:val="0"/>
          <w:numId w:val="3"/>
        </w:numPr>
        <w:spacing w:lineRule="auto" w:line="240" w:after="0" w:beforeAutospacing="0" w:afterAutospacing="0"/>
        <w:ind w:firstLine="567"/>
        <w:contextualSpacing w:val="1"/>
        <w:jc w:val="both"/>
        <w:rPr>
          <w:rFonts w:ascii="Times New Roman" w:hAnsi="Times New Roman"/>
          <w:sz w:val="28"/>
          <w:szCs w:val="28"/>
        </w:rPr>
      </w:pPr>
      <w:r>
        <w:rPr>
          <w:rFonts w:ascii="Times New Roman" w:hAnsi="Times New Roman"/>
          <w:sz w:val="28"/>
          <w:szCs w:val="28"/>
          <w:lang w:val="uk-UA"/>
        </w:rPr>
        <w:t>Доповідач по проєкту та відповідальна особа за підготовку даного проєкту – КУЛІШ Ірина Миколаївна, +3804594 6-16-86.</w:t>
      </w:r>
    </w:p>
    <w:p>
      <w:pPr>
        <w:spacing w:after="0" w:beforeAutospacing="0" w:afterAutospacing="0"/>
        <w:rPr>
          <w:rFonts w:ascii="Times New Roman" w:hAnsi="Times New Roman"/>
          <w:sz w:val="28"/>
          <w:szCs w:val="28"/>
          <w:lang w:val="uk-UA"/>
        </w:rPr>
      </w:pPr>
    </w:p>
    <w:p>
      <w:pPr>
        <w:spacing w:after="0" w:beforeAutospacing="0" w:afterAutospacing="0"/>
        <w:ind w:firstLine="709"/>
        <w:jc w:val="both"/>
        <w:rPr>
          <w:rFonts w:ascii="Times New Roman" w:hAnsi="Times New Roman"/>
          <w:b w:val="1"/>
          <w:sz w:val="28"/>
          <w:szCs w:val="28"/>
          <w:lang w:val="uk-UA"/>
        </w:rPr>
      </w:pPr>
      <w:r>
        <w:rPr>
          <w:rFonts w:ascii="Times New Roman" w:hAnsi="Times New Roman"/>
          <w:b w:val="1"/>
          <w:sz w:val="28"/>
          <w:szCs w:val="28"/>
          <w:lang w:val="uk-UA"/>
        </w:rPr>
        <w:t>7</w:t>
      </w:r>
      <w:r>
        <w:rPr>
          <w:rFonts w:ascii="Times New Roman" w:hAnsi="Times New Roman"/>
          <w:b w:val="1"/>
          <w:sz w:val="28"/>
          <w:szCs w:val="28"/>
        </w:rPr>
        <w:t>. Порівняльна</w:t>
      </w:r>
      <w:r>
        <w:rPr>
          <w:rFonts w:ascii="Times New Roman" w:hAnsi="Times New Roman"/>
          <w:b w:val="1"/>
          <w:sz w:val="28"/>
          <w:szCs w:val="28"/>
          <w:lang w:val="uk-UA"/>
        </w:rPr>
        <w:t xml:space="preserve"> </w:t>
      </w:r>
      <w:r>
        <w:rPr>
          <w:rFonts w:ascii="Times New Roman" w:hAnsi="Times New Roman"/>
          <w:b w:val="1"/>
          <w:sz w:val="28"/>
          <w:szCs w:val="28"/>
        </w:rPr>
        <w:t>таблиця</w:t>
      </w:r>
      <w:r>
        <w:rPr>
          <w:rFonts w:ascii="Times New Roman" w:hAnsi="Times New Roman"/>
          <w:b w:val="1"/>
          <w:sz w:val="28"/>
          <w:szCs w:val="28"/>
          <w:lang w:val="uk-UA"/>
        </w:rPr>
        <w:t>:</w:t>
      </w:r>
    </w:p>
    <w:tbl>
      <w:tblPr>
        <w:tblW w:w="975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1E0"/>
      </w:tblPr>
      <w:tblGrid/>
      <w:tr>
        <w:trPr>
          <w:trHeight w:hRule="atLeast" w:val="267"/>
        </w:trPr>
        <w:tc>
          <w:tcPr>
            <w:tcW w:w="9756" w:type="dxa"/>
            <w:gridSpan w:val="4"/>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Заходи програми</w:t>
            </w:r>
          </w:p>
        </w:tc>
      </w:tr>
      <w:tr>
        <w:trPr>
          <w:trHeight w:hRule="atLeast" w:val="300"/>
        </w:trPr>
        <w:tc>
          <w:tcPr>
            <w:tcW w:w="5637" w:type="dxa"/>
            <w:tcBorders>
              <w:top w:val="single" w:sz="4" w:space="0" w:shadow="0" w:frame="0"/>
              <w:left w:val="single" w:sz="4" w:space="0" w:shadow="0" w:frame="0"/>
              <w:bottom w:val="single" w:sz="4" w:space="0" w:shadow="0" w:frame="0"/>
              <w:right w:val="single" w:sz="4" w:space="0" w:shadow="0" w:frame="0"/>
            </w:tcBorders>
          </w:tcPr>
          <w:p>
            <w:pPr>
              <w:tabs>
                <w:tab w:val="left" w:pos="540" w:leader="none"/>
              </w:tabs>
              <w:jc w:val="center"/>
              <w:rPr>
                <w:rFonts w:ascii="Times New Roman" w:hAnsi="Times New Roman"/>
                <w:sz w:val="28"/>
                <w:szCs w:val="28"/>
                <w:lang w:val="uk-UA"/>
              </w:rPr>
            </w:pPr>
          </w:p>
        </w:tc>
        <w:tc>
          <w:tcPr>
            <w:tcW w:w="1701"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Було</w:t>
            </w:r>
          </w:p>
        </w:tc>
        <w:tc>
          <w:tcPr>
            <w:tcW w:w="2418" w:type="dxa"/>
            <w:gridSpan w:val="2"/>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Стало</w:t>
            </w:r>
          </w:p>
        </w:tc>
      </w:tr>
      <w:tr>
        <w:trPr>
          <w:trHeight w:hRule="atLeast" w:val="373"/>
        </w:trPr>
        <w:tc>
          <w:tcPr>
            <w:tcW w:w="5637" w:type="dxa"/>
            <w:tcBorders>
              <w:top w:val="single" w:sz="4" w:space="0" w:shadow="0" w:frame="0"/>
              <w:left w:val="single" w:sz="4" w:space="0" w:shadow="0" w:frame="0"/>
              <w:bottom w:val="single" w:sz="4" w:space="0" w:shadow="0" w:frame="0"/>
              <w:right w:val="single" w:sz="4" w:space="0" w:shadow="0" w:frame="0"/>
            </w:tcBorders>
            <w:hideMark/>
          </w:tcPr>
          <w:p>
            <w:pPr>
              <w:tabs>
                <w:tab w:val="left" w:pos="0" w:leader="none"/>
              </w:tabs>
              <w:rPr>
                <w:rFonts w:ascii="Times New Roman" w:hAnsi="Times New Roman"/>
                <w:sz w:val="28"/>
                <w:szCs w:val="28"/>
                <w:lang w:val="uk-UA"/>
              </w:rPr>
            </w:pPr>
            <w:r>
              <w:rPr>
                <w:rFonts w:ascii="Times New Roman" w:hAnsi="Times New Roman"/>
                <w:sz w:val="28"/>
                <w:szCs w:val="28"/>
                <w:lang w:val="uk-UA"/>
              </w:rPr>
              <w:t>3.</w:t>
            </w:r>
            <w:r>
              <w:rPr>
                <w:rFonts w:ascii="Calibri" w:hAnsi="Calibri"/>
                <w:lang w:val="uk-UA"/>
              </w:rPr>
              <w:t xml:space="preserve"> </w:t>
            </w:r>
            <w:r>
              <w:rPr>
                <w:rFonts w:ascii="Times New Roman" w:hAnsi="Times New Roman"/>
                <w:sz w:val="28"/>
                <w:szCs w:val="28"/>
                <w:lang w:val="uk-UA"/>
              </w:rPr>
              <w:t>Придбання пам’ятних подарунків для офіційних делегацій, в тому числі:</w:t>
            </w:r>
          </w:p>
        </w:tc>
        <w:tc>
          <w:tcPr>
            <w:tcW w:w="1701"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w:t>
            </w:r>
          </w:p>
        </w:tc>
        <w:tc>
          <w:tcPr>
            <w:tcW w:w="2418" w:type="dxa"/>
            <w:gridSpan w:val="2"/>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300,000</w:t>
            </w:r>
          </w:p>
        </w:tc>
      </w:tr>
      <w:tr>
        <w:trPr>
          <w:trHeight w:hRule="atLeast" w:val="373"/>
        </w:trPr>
        <w:tc>
          <w:tcPr>
            <w:tcW w:w="5637" w:type="dxa"/>
            <w:tcBorders>
              <w:top w:val="single" w:sz="4" w:space="0" w:shadow="0" w:frame="0"/>
              <w:left w:val="single" w:sz="4" w:space="0" w:shadow="0" w:frame="0"/>
              <w:bottom w:val="single" w:sz="4" w:space="0" w:shadow="0" w:frame="0"/>
              <w:right w:val="single" w:sz="4" w:space="0" w:shadow="0" w:frame="0"/>
            </w:tcBorders>
            <w:hideMark/>
          </w:tcPr>
          <w:p>
            <w:pPr>
              <w:tabs>
                <w:tab w:val="left" w:pos="0" w:leader="none"/>
              </w:tabs>
              <w:rPr>
                <w:rFonts w:ascii="Times New Roman" w:hAnsi="Times New Roman"/>
                <w:sz w:val="28"/>
                <w:szCs w:val="28"/>
                <w:lang w:val="uk-UA"/>
              </w:rPr>
            </w:pPr>
            <w:r>
              <w:rPr>
                <w:rFonts w:ascii="Times New Roman" w:hAnsi="Times New Roman"/>
                <w:sz w:val="28"/>
                <w:szCs w:val="28"/>
                <w:lang w:val="uk-UA"/>
              </w:rPr>
              <w:t>3.1.Сумка з нанесенням символіки (напису)</w:t>
            </w:r>
          </w:p>
        </w:tc>
        <w:tc>
          <w:tcPr>
            <w:tcW w:w="1701"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w:t>
            </w:r>
          </w:p>
        </w:tc>
        <w:tc>
          <w:tcPr>
            <w:tcW w:w="2418" w:type="dxa"/>
            <w:gridSpan w:val="2"/>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14,000</w:t>
            </w:r>
          </w:p>
        </w:tc>
      </w:tr>
      <w:tr>
        <w:trPr>
          <w:trHeight w:hRule="atLeast" w:val="373"/>
        </w:trPr>
        <w:tc>
          <w:tcPr>
            <w:tcW w:w="5637" w:type="dxa"/>
            <w:tcBorders>
              <w:top w:val="single" w:sz="4" w:space="0" w:shadow="0" w:frame="0"/>
              <w:left w:val="single" w:sz="4" w:space="0" w:shadow="0" w:frame="0"/>
              <w:bottom w:val="single" w:sz="4" w:space="0" w:shadow="0" w:frame="0"/>
              <w:right w:val="single" w:sz="4" w:space="0" w:shadow="0" w:frame="0"/>
            </w:tcBorders>
            <w:hideMark/>
          </w:tcPr>
          <w:p>
            <w:pPr>
              <w:tabs>
                <w:tab w:val="left" w:pos="0" w:leader="none"/>
              </w:tabs>
              <w:rPr>
                <w:rFonts w:ascii="Times New Roman" w:hAnsi="Times New Roman"/>
                <w:sz w:val="28"/>
                <w:szCs w:val="28"/>
                <w:lang w:val="uk-UA"/>
              </w:rPr>
            </w:pPr>
            <w:r>
              <w:rPr>
                <w:rFonts w:ascii="Times New Roman" w:hAnsi="Times New Roman"/>
                <w:sz w:val="28"/>
                <w:szCs w:val="28"/>
                <w:lang w:val="uk-UA"/>
              </w:rPr>
              <w:t>3.2.Вишиванка з нанесенням символіки (довгий рукав)</w:t>
            </w:r>
          </w:p>
        </w:tc>
        <w:tc>
          <w:tcPr>
            <w:tcW w:w="1701"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w:t>
            </w:r>
          </w:p>
        </w:tc>
        <w:tc>
          <w:tcPr>
            <w:tcW w:w="2418" w:type="dxa"/>
            <w:gridSpan w:val="2"/>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21,000</w:t>
            </w:r>
          </w:p>
        </w:tc>
      </w:tr>
      <w:tr>
        <w:trPr>
          <w:trHeight w:hRule="atLeast" w:val="373"/>
        </w:trPr>
        <w:tc>
          <w:tcPr>
            <w:tcW w:w="5637" w:type="dxa"/>
            <w:tcBorders>
              <w:top w:val="single" w:sz="4" w:space="0" w:shadow="0" w:frame="0"/>
              <w:left w:val="single" w:sz="4" w:space="0" w:shadow="0" w:frame="0"/>
              <w:bottom w:val="single" w:sz="4" w:space="0" w:shadow="0" w:frame="0"/>
              <w:right w:val="single" w:sz="4" w:space="0" w:shadow="0" w:frame="0"/>
            </w:tcBorders>
            <w:hideMark/>
          </w:tcPr>
          <w:p>
            <w:pPr>
              <w:tabs>
                <w:tab w:val="left" w:pos="0" w:leader="none"/>
              </w:tabs>
              <w:rPr>
                <w:rFonts w:ascii="Times New Roman" w:hAnsi="Times New Roman"/>
                <w:sz w:val="28"/>
                <w:szCs w:val="28"/>
                <w:lang w:val="uk-UA"/>
              </w:rPr>
            </w:pPr>
            <w:r>
              <w:rPr>
                <w:rFonts w:ascii="Times New Roman" w:hAnsi="Times New Roman"/>
                <w:sz w:val="28"/>
                <w:szCs w:val="28"/>
                <w:lang w:val="uk-UA"/>
              </w:rPr>
              <w:t>3.3.Вишиванка з нанесенням символіки (короткий рукав)</w:t>
            </w:r>
          </w:p>
        </w:tc>
        <w:tc>
          <w:tcPr>
            <w:tcW w:w="1701"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w:t>
            </w:r>
          </w:p>
        </w:tc>
        <w:tc>
          <w:tcPr>
            <w:tcW w:w="2418" w:type="dxa"/>
            <w:gridSpan w:val="2"/>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12,000</w:t>
            </w:r>
          </w:p>
        </w:tc>
      </w:tr>
      <w:tr>
        <w:trPr>
          <w:gridAfter w:val="1"/>
          <w:wAfter w:w="9" w:type="dxa"/>
          <w:trHeight w:hRule="atLeast" w:val="373"/>
        </w:trPr>
        <w:tc>
          <w:tcPr>
            <w:tcW w:w="5637" w:type="dxa"/>
            <w:tcBorders>
              <w:top w:val="single" w:sz="4" w:space="0" w:shadow="0" w:frame="0"/>
              <w:left w:val="single" w:sz="4" w:space="0" w:shadow="0" w:frame="0"/>
              <w:bottom w:val="single" w:sz="4" w:space="0" w:shadow="0" w:frame="0"/>
              <w:right w:val="single" w:sz="4" w:space="0" w:shadow="0" w:frame="0"/>
            </w:tcBorders>
            <w:hideMark/>
          </w:tcPr>
          <w:p>
            <w:pPr>
              <w:tabs>
                <w:tab w:val="left" w:pos="0" w:leader="none"/>
              </w:tabs>
              <w:rPr>
                <w:rFonts w:ascii="Times New Roman" w:hAnsi="Times New Roman"/>
                <w:sz w:val="28"/>
                <w:szCs w:val="28"/>
                <w:lang w:val="uk-UA"/>
              </w:rPr>
            </w:pPr>
            <w:r>
              <w:rPr>
                <w:rFonts w:ascii="Times New Roman" w:hAnsi="Times New Roman"/>
                <w:sz w:val="28"/>
                <w:szCs w:val="28"/>
                <w:lang w:val="uk-UA"/>
              </w:rPr>
              <w:t>3.4.Ручка з нанесенням символіки</w:t>
            </w:r>
          </w:p>
        </w:tc>
        <w:tc>
          <w:tcPr>
            <w:tcW w:w="1701"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w:t>
            </w:r>
          </w:p>
        </w:tc>
        <w:tc>
          <w:tcPr>
            <w:tcW w:w="2409"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25,000</w:t>
            </w:r>
          </w:p>
        </w:tc>
      </w:tr>
      <w:tr>
        <w:trPr>
          <w:gridAfter w:val="1"/>
          <w:wAfter w:w="9" w:type="dxa"/>
          <w:trHeight w:hRule="atLeast" w:val="373"/>
        </w:trPr>
        <w:tc>
          <w:tcPr>
            <w:tcW w:w="5637" w:type="dxa"/>
            <w:tcBorders>
              <w:top w:val="single" w:sz="4" w:space="0" w:shadow="0" w:frame="0"/>
              <w:left w:val="single" w:sz="4" w:space="0" w:shadow="0" w:frame="0"/>
              <w:bottom w:val="single" w:sz="4" w:space="0" w:shadow="0" w:frame="0"/>
              <w:right w:val="single" w:sz="4" w:space="0" w:shadow="0" w:frame="0"/>
            </w:tcBorders>
            <w:hideMark/>
          </w:tcPr>
          <w:p>
            <w:pPr>
              <w:tabs>
                <w:tab w:val="left" w:pos="0" w:leader="none"/>
              </w:tabs>
              <w:rPr>
                <w:rFonts w:ascii="Times New Roman" w:hAnsi="Times New Roman"/>
                <w:sz w:val="28"/>
                <w:szCs w:val="28"/>
                <w:lang w:val="uk-UA"/>
              </w:rPr>
            </w:pPr>
            <w:r>
              <w:rPr>
                <w:rFonts w:ascii="Times New Roman" w:hAnsi="Times New Roman"/>
                <w:sz w:val="28"/>
                <w:szCs w:val="28"/>
                <w:lang w:val="uk-UA"/>
              </w:rPr>
              <w:t>3.5.Поло з нанесенням зображення або напису</w:t>
            </w:r>
          </w:p>
        </w:tc>
        <w:tc>
          <w:tcPr>
            <w:tcW w:w="1701"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w:t>
            </w:r>
          </w:p>
        </w:tc>
        <w:tc>
          <w:tcPr>
            <w:tcW w:w="2409"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85,000</w:t>
            </w:r>
          </w:p>
        </w:tc>
      </w:tr>
      <w:tr>
        <w:trPr>
          <w:gridAfter w:val="1"/>
          <w:wAfter w:w="9" w:type="dxa"/>
          <w:trHeight w:hRule="atLeast" w:val="373"/>
        </w:trPr>
        <w:tc>
          <w:tcPr>
            <w:tcW w:w="5637" w:type="dxa"/>
            <w:tcBorders>
              <w:top w:val="single" w:sz="4" w:space="0" w:shadow="0" w:frame="0"/>
              <w:left w:val="single" w:sz="4" w:space="0" w:shadow="0" w:frame="0"/>
              <w:bottom w:val="single" w:sz="4" w:space="0" w:shadow="0" w:frame="0"/>
              <w:right w:val="single" w:sz="4" w:space="0" w:shadow="0" w:frame="0"/>
            </w:tcBorders>
            <w:hideMark/>
          </w:tcPr>
          <w:p>
            <w:pPr>
              <w:tabs>
                <w:tab w:val="left" w:pos="0" w:leader="none"/>
              </w:tabs>
              <w:rPr>
                <w:rFonts w:ascii="Times New Roman" w:hAnsi="Times New Roman"/>
                <w:sz w:val="28"/>
                <w:szCs w:val="28"/>
                <w:lang w:val="uk-UA"/>
              </w:rPr>
            </w:pPr>
            <w:r>
              <w:rPr>
                <w:rFonts w:ascii="Times New Roman" w:hAnsi="Times New Roman"/>
                <w:sz w:val="28"/>
                <w:szCs w:val="28"/>
                <w:lang w:val="uk-UA"/>
              </w:rPr>
              <w:t>3.6.Термочашки з нанесенням символіки</w:t>
            </w:r>
          </w:p>
        </w:tc>
        <w:tc>
          <w:tcPr>
            <w:tcW w:w="1701"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w:t>
            </w:r>
          </w:p>
        </w:tc>
        <w:tc>
          <w:tcPr>
            <w:tcW w:w="2409"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32,500</w:t>
            </w:r>
          </w:p>
        </w:tc>
      </w:tr>
      <w:tr>
        <w:trPr>
          <w:gridAfter w:val="1"/>
          <w:wAfter w:w="9" w:type="dxa"/>
          <w:trHeight w:hRule="atLeast" w:val="373"/>
        </w:trPr>
        <w:tc>
          <w:tcPr>
            <w:tcW w:w="5637" w:type="dxa"/>
            <w:tcBorders>
              <w:top w:val="single" w:sz="4" w:space="0" w:shadow="0" w:frame="0"/>
              <w:left w:val="single" w:sz="4" w:space="0" w:shadow="0" w:frame="0"/>
              <w:bottom w:val="single" w:sz="4" w:space="0" w:shadow="0" w:frame="0"/>
              <w:right w:val="single" w:sz="4" w:space="0" w:shadow="0" w:frame="0"/>
            </w:tcBorders>
            <w:hideMark/>
          </w:tcPr>
          <w:p>
            <w:pPr>
              <w:tabs>
                <w:tab w:val="left" w:pos="0" w:leader="none"/>
              </w:tabs>
              <w:rPr>
                <w:rFonts w:ascii="Times New Roman" w:hAnsi="Times New Roman"/>
                <w:sz w:val="28"/>
                <w:szCs w:val="28"/>
                <w:lang w:val="uk-UA"/>
              </w:rPr>
            </w:pPr>
            <w:r>
              <w:rPr>
                <w:rFonts w:ascii="Times New Roman" w:hAnsi="Times New Roman"/>
                <w:sz w:val="28"/>
                <w:szCs w:val="28"/>
                <w:lang w:val="uk-UA"/>
              </w:rPr>
              <w:t>3.7.Пам</w:t>
            </w:r>
            <w:r>
              <w:rPr>
                <w:rFonts w:ascii="Times New Roman" w:hAnsi="Times New Roman"/>
                <w:sz w:val="28"/>
                <w:szCs w:val="28"/>
              </w:rPr>
              <w:t>’</w:t>
            </w:r>
            <w:r>
              <w:rPr>
                <w:rFonts w:ascii="Times New Roman" w:hAnsi="Times New Roman"/>
                <w:sz w:val="28"/>
                <w:szCs w:val="28"/>
                <w:lang w:val="uk-UA"/>
              </w:rPr>
              <w:t>ятний подарунок у футлярі</w:t>
            </w:r>
          </w:p>
        </w:tc>
        <w:tc>
          <w:tcPr>
            <w:tcW w:w="1701"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w:t>
            </w:r>
          </w:p>
        </w:tc>
        <w:tc>
          <w:tcPr>
            <w:tcW w:w="2409"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47,500</w:t>
            </w:r>
          </w:p>
        </w:tc>
      </w:tr>
      <w:tr>
        <w:trPr>
          <w:gridAfter w:val="1"/>
          <w:wAfter w:w="9" w:type="dxa"/>
          <w:trHeight w:hRule="atLeast" w:val="373"/>
        </w:trPr>
        <w:tc>
          <w:tcPr>
            <w:tcW w:w="5637" w:type="dxa"/>
            <w:tcBorders>
              <w:top w:val="single" w:sz="4" w:space="0" w:shadow="0" w:frame="0"/>
              <w:left w:val="single" w:sz="4" w:space="0" w:shadow="0" w:frame="0"/>
              <w:bottom w:val="single" w:sz="4" w:space="0" w:shadow="0" w:frame="0"/>
              <w:right w:val="single" w:sz="4" w:space="0" w:shadow="0" w:frame="0"/>
            </w:tcBorders>
            <w:hideMark/>
          </w:tcPr>
          <w:p>
            <w:pPr>
              <w:tabs>
                <w:tab w:val="left" w:pos="0" w:leader="none"/>
              </w:tabs>
              <w:rPr>
                <w:rFonts w:ascii="Times New Roman" w:hAnsi="Times New Roman"/>
                <w:sz w:val="28"/>
                <w:szCs w:val="28"/>
                <w:lang w:val="uk-UA"/>
              </w:rPr>
            </w:pPr>
            <w:r>
              <w:rPr>
                <w:rFonts w:ascii="Times New Roman" w:hAnsi="Times New Roman"/>
                <w:sz w:val="28"/>
                <w:szCs w:val="28"/>
                <w:lang w:val="uk-UA"/>
              </w:rPr>
              <w:t>3.8.Парасолі з нанесенням символіки</w:t>
            </w:r>
          </w:p>
        </w:tc>
        <w:tc>
          <w:tcPr>
            <w:tcW w:w="1701"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w:t>
            </w:r>
          </w:p>
        </w:tc>
        <w:tc>
          <w:tcPr>
            <w:tcW w:w="2409"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35,000</w:t>
            </w:r>
          </w:p>
        </w:tc>
      </w:tr>
      <w:tr>
        <w:trPr>
          <w:gridAfter w:val="1"/>
          <w:wAfter w:w="9" w:type="dxa"/>
          <w:trHeight w:hRule="atLeast" w:val="373"/>
        </w:trPr>
        <w:tc>
          <w:tcPr>
            <w:tcW w:w="5637" w:type="dxa"/>
            <w:tcBorders>
              <w:top w:val="single" w:sz="4" w:space="0" w:shadow="0" w:frame="0"/>
              <w:left w:val="single" w:sz="4" w:space="0" w:shadow="0" w:frame="0"/>
              <w:bottom w:val="single" w:sz="4" w:space="0" w:shadow="0" w:frame="0"/>
              <w:right w:val="single" w:sz="4" w:space="0" w:shadow="0" w:frame="0"/>
            </w:tcBorders>
            <w:hideMark/>
          </w:tcPr>
          <w:p>
            <w:pPr>
              <w:tabs>
                <w:tab w:val="left" w:pos="0" w:leader="none"/>
              </w:tabs>
              <w:rPr>
                <w:rFonts w:ascii="Times New Roman" w:hAnsi="Times New Roman"/>
                <w:sz w:val="28"/>
                <w:szCs w:val="28"/>
                <w:lang w:val="uk-UA"/>
              </w:rPr>
            </w:pPr>
            <w:r>
              <w:rPr>
                <w:rFonts w:ascii="Times New Roman" w:hAnsi="Times New Roman"/>
                <w:sz w:val="28"/>
                <w:szCs w:val="28"/>
                <w:lang w:val="uk-UA"/>
              </w:rPr>
              <w:t>3.9.</w:t>
            </w:r>
            <w:r>
              <w:rPr>
                <w:rFonts w:ascii="Calibri" w:hAnsi="Calibri"/>
                <w:lang w:val="uk-UA"/>
              </w:rPr>
              <w:t xml:space="preserve"> </w:t>
            </w:r>
            <w:r>
              <w:rPr>
                <w:rFonts w:ascii="Times New Roman" w:hAnsi="Times New Roman"/>
                <w:sz w:val="28"/>
                <w:szCs w:val="28"/>
                <w:lang w:val="uk-UA"/>
              </w:rPr>
              <w:t>Павербанк з нанесенням символіки</w:t>
            </w:r>
          </w:p>
        </w:tc>
        <w:tc>
          <w:tcPr>
            <w:tcW w:w="1701"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w:t>
            </w:r>
          </w:p>
        </w:tc>
        <w:tc>
          <w:tcPr>
            <w:tcW w:w="2409"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28,000</w:t>
            </w:r>
          </w:p>
        </w:tc>
      </w:tr>
      <w:tr>
        <w:trPr>
          <w:gridAfter w:val="1"/>
          <w:wAfter w:w="9" w:type="dxa"/>
          <w:trHeight w:hRule="atLeast" w:val="373"/>
        </w:trPr>
        <w:tc>
          <w:tcPr>
            <w:tcW w:w="5637"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rPr>
                <w:rFonts w:ascii="Times New Roman" w:hAnsi="Times New Roman"/>
                <w:sz w:val="28"/>
                <w:szCs w:val="28"/>
                <w:lang w:val="uk-UA"/>
              </w:rPr>
            </w:pPr>
            <w:r>
              <w:rPr>
                <w:rFonts w:ascii="Times New Roman" w:hAnsi="Times New Roman"/>
                <w:sz w:val="28"/>
                <w:szCs w:val="28"/>
                <w:lang w:val="uk-UA"/>
              </w:rPr>
              <w:t>РАЗОМ:</w:t>
            </w:r>
          </w:p>
        </w:tc>
        <w:tc>
          <w:tcPr>
            <w:tcW w:w="1701"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0</w:t>
            </w:r>
          </w:p>
        </w:tc>
        <w:tc>
          <w:tcPr>
            <w:tcW w:w="2409" w:type="dxa"/>
            <w:tcBorders>
              <w:top w:val="single" w:sz="4" w:space="0" w:shadow="0" w:frame="0"/>
              <w:left w:val="single" w:sz="4" w:space="0" w:shadow="0" w:frame="0"/>
              <w:bottom w:val="single" w:sz="4" w:space="0" w:shadow="0" w:frame="0"/>
              <w:right w:val="single" w:sz="4" w:space="0" w:shadow="0" w:frame="0"/>
            </w:tcBorders>
            <w:hideMark/>
          </w:tcPr>
          <w:p>
            <w:pPr>
              <w:tabs>
                <w:tab w:val="left" w:pos="540" w:leader="none"/>
              </w:tabs>
              <w:jc w:val="center"/>
              <w:rPr>
                <w:rFonts w:ascii="Times New Roman" w:hAnsi="Times New Roman"/>
                <w:sz w:val="28"/>
                <w:szCs w:val="28"/>
                <w:lang w:val="uk-UA"/>
              </w:rPr>
            </w:pPr>
            <w:r>
              <w:rPr>
                <w:rFonts w:ascii="Times New Roman" w:hAnsi="Times New Roman"/>
                <w:sz w:val="28"/>
                <w:szCs w:val="28"/>
                <w:lang w:val="uk-UA"/>
              </w:rPr>
              <w:t>300,000</w:t>
            </w:r>
          </w:p>
        </w:tc>
      </w:tr>
    </w:tbl>
    <w:tbl>
      <w:tblPr>
        <w:tblStyle w:val="T2"/>
        <w:tblW w:w="0" w:type="auto"/>
        <w:tblInd w:w="0"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tr>
        <w:tc>
          <w:tcPr>
            <w:tcW w:w="4814" w:type="dxa"/>
          </w:tcPr>
          <w:p>
            <w:pPr>
              <w:contextualSpacing w:val="1"/>
              <w:jc w:val="both"/>
              <w:rPr>
                <w:rFonts w:ascii="Times New Roman" w:hAnsi="Times New Roman"/>
                <w:sz w:val="28"/>
                <w:szCs w:val="28"/>
                <w:lang w:eastAsia="en-US"/>
              </w:rPr>
            </w:pPr>
          </w:p>
        </w:tc>
        <w:tc>
          <w:tcPr>
            <w:tcW w:w="4815" w:type="dxa"/>
          </w:tcPr>
          <w:p>
            <w:pPr>
              <w:contextualSpacing w:val="1"/>
              <w:jc w:val="right"/>
              <w:rPr>
                <w:rFonts w:ascii="Times New Roman" w:hAnsi="Times New Roman"/>
                <w:sz w:val="28"/>
                <w:szCs w:val="28"/>
                <w:lang w:eastAsia="en-US"/>
              </w:rPr>
            </w:pPr>
          </w:p>
        </w:tc>
      </w:tr>
    </w:tbl>
    <w:p>
      <w:pPr>
        <w:tabs>
          <w:tab w:val="left" w:pos="9639" w:leader="none"/>
        </w:tabs>
        <w:spacing w:lineRule="auto" w:line="240" w:after="0" w:beforeAutospacing="0" w:afterAutospacing="0"/>
        <w:ind w:right="-1"/>
        <w:jc w:val="both"/>
        <w:rPr>
          <w:rFonts w:ascii="Times New Roman" w:hAnsi="Times New Roman"/>
          <w:sz w:val="28"/>
          <w:szCs w:val="28"/>
          <w:lang w:val="uk-UA"/>
        </w:rPr>
      </w:pPr>
      <w:r>
        <w:rPr>
          <w:rFonts w:ascii="Times New Roman" w:hAnsi="Times New Roman"/>
          <w:sz w:val="28"/>
          <w:szCs w:val="28"/>
          <w:lang w:val="uk-UA"/>
        </w:rPr>
        <w:t xml:space="preserve">Виконуюча    обов’язки      начальника </w:t>
      </w:r>
    </w:p>
    <w:p>
      <w:pPr>
        <w:tabs>
          <w:tab w:val="left" w:pos="9639" w:leader="none"/>
        </w:tabs>
        <w:spacing w:lineRule="auto" w:line="240" w:after="0" w:beforeAutospacing="0" w:afterAutospacing="0"/>
        <w:ind w:right="-1"/>
        <w:jc w:val="both"/>
        <w:rPr>
          <w:rFonts w:ascii="Times New Roman" w:hAnsi="Times New Roman"/>
          <w:sz w:val="28"/>
          <w:szCs w:val="28"/>
          <w:lang w:val="uk-UA"/>
        </w:rPr>
      </w:pPr>
      <w:r>
        <w:rPr>
          <w:rFonts w:ascii="Times New Roman" w:hAnsi="Times New Roman"/>
          <w:sz w:val="28"/>
          <w:szCs w:val="28"/>
          <w:lang w:val="uk-UA"/>
        </w:rPr>
        <w:t xml:space="preserve">управління   забезпечення    діяльності </w:t>
      </w:r>
    </w:p>
    <w:p>
      <w:pPr>
        <w:tabs>
          <w:tab w:val="left" w:pos="9639" w:leader="none"/>
        </w:tabs>
        <w:spacing w:lineRule="auto" w:line="240" w:after="0" w:beforeAutospacing="0" w:afterAutospacing="0"/>
        <w:ind w:right="-1"/>
        <w:jc w:val="both"/>
        <w:rPr>
          <w:rFonts w:ascii="Times New Roman" w:hAnsi="Times New Roman"/>
          <w:sz w:val="28"/>
          <w:szCs w:val="28"/>
          <w:lang w:val="uk-UA"/>
        </w:rPr>
      </w:pPr>
      <w:r>
        <w:rPr>
          <w:rFonts w:ascii="Times New Roman" w:hAnsi="Times New Roman"/>
          <w:sz w:val="28"/>
          <w:szCs w:val="28"/>
          <w:lang w:val="uk-UA"/>
        </w:rPr>
        <w:t xml:space="preserve">виконавчого   комітету      Броварської </w:t>
      </w:r>
    </w:p>
    <w:p>
      <w:pPr>
        <w:tabs>
          <w:tab w:val="left" w:pos="9639" w:leader="none"/>
        </w:tabs>
        <w:spacing w:lineRule="auto" w:line="240" w:after="0" w:beforeAutospacing="0" w:afterAutospacing="0"/>
        <w:ind w:right="-1"/>
        <w:jc w:val="both"/>
        <w:rPr>
          <w:rFonts w:ascii="Times New Roman" w:hAnsi="Times New Roman"/>
          <w:sz w:val="28"/>
          <w:szCs w:val="28"/>
          <w:lang w:val="uk-UA"/>
        </w:rPr>
      </w:pPr>
      <w:r>
        <w:rPr>
          <w:rFonts w:ascii="Times New Roman" w:hAnsi="Times New Roman"/>
          <w:sz w:val="28"/>
          <w:szCs w:val="28"/>
          <w:lang w:val="uk-UA"/>
        </w:rPr>
        <w:t xml:space="preserve">міської  ради     Броварського    району </w:t>
      </w:r>
    </w:p>
    <w:p>
      <w:pPr>
        <w:tabs>
          <w:tab w:val="left" w:pos="9639" w:leader="none"/>
        </w:tabs>
        <w:spacing w:lineRule="auto" w:line="240" w:after="0" w:beforeAutospacing="0" w:afterAutospacing="0"/>
        <w:ind w:right="-1"/>
        <w:jc w:val="both"/>
        <w:rPr>
          <w:rFonts w:ascii="Times New Roman" w:hAnsi="Times New Roman"/>
          <w:sz w:val="28"/>
          <w:szCs w:val="28"/>
          <w:lang w:val="uk-UA"/>
        </w:rPr>
      </w:pPr>
      <w:r>
        <w:rPr>
          <w:rFonts w:ascii="Times New Roman" w:hAnsi="Times New Roman"/>
          <w:sz w:val="28"/>
          <w:szCs w:val="28"/>
          <w:lang w:val="uk-UA"/>
        </w:rPr>
        <w:t xml:space="preserve">Київської області   та   її     виконавчих </w:t>
      </w:r>
    </w:p>
    <w:p>
      <w:pPr>
        <w:tabs>
          <w:tab w:val="left" w:pos="9639" w:leader="none"/>
        </w:tabs>
        <w:spacing w:lineRule="auto" w:line="240" w:after="0" w:beforeAutospacing="0" w:afterAutospacing="0"/>
        <w:ind w:right="-1"/>
        <w:jc w:val="both"/>
        <w:rPr>
          <w:rFonts w:ascii="Times New Roman" w:hAnsi="Times New Roman"/>
          <w:sz w:val="28"/>
          <w:szCs w:val="28"/>
          <w:lang w:val="uk-UA"/>
        </w:rPr>
      </w:pPr>
      <w:r>
        <w:rPr>
          <w:rFonts w:ascii="Times New Roman" w:hAnsi="Times New Roman"/>
          <w:sz w:val="28"/>
          <w:szCs w:val="28"/>
          <w:lang w:val="uk-UA"/>
        </w:rPr>
        <w:t xml:space="preserve">органів  –    заступник         начальника</w:t>
      </w:r>
    </w:p>
    <w:p>
      <w:pPr>
        <w:tabs>
          <w:tab w:val="left" w:pos="9639" w:leader="none"/>
        </w:tabs>
        <w:spacing w:lineRule="auto" w:line="240" w:after="0" w:beforeAutospacing="0" w:afterAutospacing="0"/>
        <w:ind w:right="-1"/>
        <w:jc w:val="both"/>
        <w:rPr>
          <w:rFonts w:ascii="Times New Roman" w:hAnsi="Times New Roman"/>
          <w:sz w:val="28"/>
          <w:szCs w:val="28"/>
          <w:lang w:val="uk-UA"/>
        </w:rPr>
      </w:pPr>
      <w:r>
        <w:rPr>
          <w:rFonts w:ascii="Times New Roman" w:hAnsi="Times New Roman"/>
          <w:sz w:val="28"/>
          <w:szCs w:val="28"/>
          <w:lang w:val="uk-UA"/>
        </w:rPr>
        <w:t xml:space="preserve">управління   – прес-секретар   міського</w:t>
      </w:r>
    </w:p>
    <w:p>
      <w:pPr>
        <w:tabs>
          <w:tab w:val="left" w:pos="9639" w:leader="none"/>
        </w:tabs>
        <w:spacing w:lineRule="auto" w:line="240" w:after="0" w:beforeAutospacing="0" w:afterAutospacing="0"/>
        <w:ind w:right="-1"/>
        <w:jc w:val="both"/>
        <w:rPr>
          <w:rFonts w:ascii="Times New Roman" w:hAnsi="Times New Roman"/>
          <w:sz w:val="28"/>
          <w:szCs w:val="28"/>
          <w:lang w:val="uk-UA"/>
        </w:rPr>
      </w:pPr>
      <w:r>
        <w:rPr>
          <w:rFonts w:ascii="Times New Roman" w:hAnsi="Times New Roman"/>
          <w:sz w:val="28"/>
          <w:szCs w:val="28"/>
          <w:lang w:val="uk-UA"/>
        </w:rPr>
        <w:t xml:space="preserve">голови                                                                    </w:t>
      </w:r>
      <w:bookmarkStart w:id="1" w:name="_GoBack"/>
      <w:bookmarkEnd w:id="1"/>
      <w:r>
        <w:rPr>
          <w:rFonts w:ascii="Times New Roman" w:hAnsi="Times New Roman"/>
          <w:sz w:val="28"/>
          <w:szCs w:val="28"/>
          <w:lang w:val="uk-UA"/>
        </w:rPr>
        <w:t xml:space="preserve">                              Ірина КУЛІШ</w:t>
      </w:r>
    </w:p>
    <w:p/>
    <w:sectPr>
      <w:type w:val="nextPage"/>
      <w:pgSz w:w="11906" w:h="16838" w:code="0"/>
      <w:pgMar w:left="1701" w:right="850" w:top="568" w:bottom="426" w:header="708" w:footer="708" w:gutter="0"/>
    </w:sectPr>
  </w:body>
</w:document>
</file>

<file path=word/numbering.xml><?xml version="1.0" encoding="utf-8"?>
<w:numbering xmlns:w="http://schemas.openxmlformats.org/wordprocessingml/2006/main">
  <w:abstractNum w:abstractNumId="0">
    <w:nsid w:val="00000001"/>
    <w:multiLevelType w:val="multilevel"/>
    <w:lvl w:ilvl="0">
      <w:start w:val="1"/>
      <w:numFmt w:val="none"/>
      <w:suff w:val="nothing"/>
      <w:lvlText w:val=""/>
      <w:lvlJc w:val="left"/>
      <w:pPr>
        <w:ind w:hanging="432" w:left="432"/>
        <w:tabs>
          <w:tab w:val="num" w:pos="432" w:leader="none"/>
        </w:tabs>
      </w:pPr>
      <w:rPr/>
    </w:lvl>
    <w:lvl w:ilvl="1">
      <w:start w:val="1"/>
      <w:numFmt w:val="none"/>
      <w:suff w:val="nothing"/>
      <w:lvlText w:val=""/>
      <w:lvlJc w:val="left"/>
      <w:pPr>
        <w:ind w:hanging="576" w:left="576"/>
        <w:tabs>
          <w:tab w:val="num" w:pos="576" w:leader="none"/>
        </w:tabs>
      </w:pPr>
      <w:rPr/>
    </w:lvl>
    <w:lvl w:ilvl="2">
      <w:start w:val="1"/>
      <w:numFmt w:val="none"/>
      <w:suff w:val="nothing"/>
      <w:lvlText w:val=""/>
      <w:lvlJc w:val="left"/>
      <w:pPr>
        <w:ind w:hanging="720" w:left="720"/>
        <w:tabs>
          <w:tab w:val="num" w:pos="720" w:leader="none"/>
        </w:tabs>
      </w:pPr>
      <w:rPr/>
    </w:lvl>
    <w:lvl w:ilvl="3">
      <w:start w:val="1"/>
      <w:numFmt w:val="none"/>
      <w:suff w:val="nothing"/>
      <w:lvlText w:val=""/>
      <w:lvlJc w:val="left"/>
      <w:pPr>
        <w:ind w:hanging="864" w:left="864"/>
        <w:tabs>
          <w:tab w:val="num" w:pos="864" w:leader="none"/>
        </w:tabs>
      </w:pPr>
      <w:rPr/>
    </w:lvl>
    <w:lvl w:ilvl="4">
      <w:start w:val="1"/>
      <w:numFmt w:val="none"/>
      <w:suff w:val="nothing"/>
      <w:lvlText w:val=""/>
      <w:lvlJc w:val="left"/>
      <w:pPr>
        <w:ind w:hanging="1008" w:left="1008"/>
        <w:tabs>
          <w:tab w:val="num" w:pos="1008" w:leader="none"/>
        </w:tabs>
      </w:pPr>
      <w:rPr/>
    </w:lvl>
    <w:lvl w:ilvl="5">
      <w:start w:val="1"/>
      <w:numFmt w:val="none"/>
      <w:suff w:val="nothing"/>
      <w:lvlText w:val=""/>
      <w:lvlJc w:val="left"/>
      <w:pPr>
        <w:ind w:hanging="1152" w:left="1152"/>
        <w:tabs>
          <w:tab w:val="num" w:pos="1152" w:leader="none"/>
        </w:tabs>
      </w:pPr>
      <w:rPr/>
    </w:lvl>
    <w:lvl w:ilvl="6">
      <w:start w:val="1"/>
      <w:numFmt w:val="none"/>
      <w:suff w:val="nothing"/>
      <w:lvlText w:val=""/>
      <w:lvlJc w:val="left"/>
      <w:pPr>
        <w:ind w:hanging="1296" w:left="1296"/>
        <w:tabs>
          <w:tab w:val="num" w:pos="1296" w:leader="none"/>
        </w:tabs>
      </w:pPr>
      <w:rPr/>
    </w:lvl>
    <w:lvl w:ilvl="7">
      <w:start w:val="1"/>
      <w:numFmt w:val="none"/>
      <w:suff w:val="nothing"/>
      <w:lvlText w:val=""/>
      <w:lvlJc w:val="left"/>
      <w:pPr>
        <w:ind w:hanging="1440" w:left="1440"/>
        <w:tabs>
          <w:tab w:val="num" w:pos="1440" w:leader="none"/>
        </w:tabs>
      </w:pPr>
      <w:rPr/>
    </w:lvl>
    <w:lvl w:ilvl="8">
      <w:start w:val="1"/>
      <w:numFmt w:val="none"/>
      <w:suff w:val="nothing"/>
      <w:lvlText w:val=""/>
      <w:lvlJc w:val="left"/>
      <w:pPr>
        <w:ind w:hanging="1584" w:left="1584"/>
        <w:tabs>
          <w:tab w:val="num" w:pos="1584" w:leader="none"/>
        </w:tabs>
      </w:pPr>
      <w:rPr/>
    </w:lvl>
  </w:abstractNum>
  <w:abstractNum w:abstractNumId="1">
    <w:nsid w:val="381D6C39"/>
    <w:multiLevelType w:val="hybridMultilevel"/>
    <w:lvl w:ilvl="0" w:tplc="07B8A21A">
      <w:start w:val="2"/>
      <w:numFmt w:val="bullet"/>
      <w:suff w:val="tab"/>
      <w:lvlText w:val="-"/>
      <w:lvlJc w:val="left"/>
      <w:pPr>
        <w:ind w:hanging="360" w:left="720"/>
      </w:pPr>
      <w:rPr>
        <w:rFonts w:ascii="Times New Roman" w:hAnsi="Times New Roman"/>
      </w:rPr>
    </w:lvl>
    <w:lvl w:ilvl="1" w:tplc="04190003">
      <w:start w:val="1"/>
      <w:numFmt w:val="bullet"/>
      <w:suff w:val="tab"/>
      <w:lvlText w:val="o"/>
      <w:lvlJc w:val="left"/>
      <w:pPr>
        <w:ind w:hanging="360" w:left="1440"/>
      </w:pPr>
      <w:rPr>
        <w:rFonts w:ascii="Courier New" w:hAnsi="Courier New"/>
      </w:rPr>
    </w:lvl>
    <w:lvl w:ilvl="2" w:tplc="04190005">
      <w:start w:val="1"/>
      <w:numFmt w:val="bullet"/>
      <w:suff w:val="tab"/>
      <w:lvlText w:val=""/>
      <w:lvlJc w:val="left"/>
      <w:pPr>
        <w:ind w:hanging="360" w:left="2160"/>
      </w:pPr>
      <w:rPr>
        <w:rFonts w:ascii="Wingdings" w:hAnsi="Wingdings"/>
      </w:rPr>
    </w:lvl>
    <w:lvl w:ilvl="3" w:tplc="04190001">
      <w:start w:val="1"/>
      <w:numFmt w:val="bullet"/>
      <w:suff w:val="tab"/>
      <w:lvlText w:val=""/>
      <w:lvlJc w:val="left"/>
      <w:pPr>
        <w:ind w:hanging="360" w:left="2880"/>
      </w:pPr>
      <w:rPr>
        <w:rFonts w:ascii="Symbol" w:hAnsi="Symbol"/>
      </w:rPr>
    </w:lvl>
    <w:lvl w:ilvl="4" w:tplc="04190003">
      <w:start w:val="1"/>
      <w:numFmt w:val="bullet"/>
      <w:suff w:val="tab"/>
      <w:lvlText w:val="o"/>
      <w:lvlJc w:val="left"/>
      <w:pPr>
        <w:ind w:hanging="360" w:left="3600"/>
      </w:pPr>
      <w:rPr>
        <w:rFonts w:ascii="Courier New" w:hAnsi="Courier New"/>
      </w:rPr>
    </w:lvl>
    <w:lvl w:ilvl="5" w:tplc="04190005">
      <w:start w:val="1"/>
      <w:numFmt w:val="bullet"/>
      <w:suff w:val="tab"/>
      <w:lvlText w:val=""/>
      <w:lvlJc w:val="left"/>
      <w:pPr>
        <w:ind w:hanging="360" w:left="4320"/>
      </w:pPr>
      <w:rPr>
        <w:rFonts w:ascii="Wingdings" w:hAnsi="Wingdings"/>
      </w:rPr>
    </w:lvl>
    <w:lvl w:ilvl="6" w:tplc="04190001">
      <w:start w:val="1"/>
      <w:numFmt w:val="bullet"/>
      <w:suff w:val="tab"/>
      <w:lvlText w:val=""/>
      <w:lvlJc w:val="left"/>
      <w:pPr>
        <w:ind w:hanging="360" w:left="5040"/>
      </w:pPr>
      <w:rPr>
        <w:rFonts w:ascii="Symbol" w:hAnsi="Symbol"/>
      </w:rPr>
    </w:lvl>
    <w:lvl w:ilvl="7" w:tplc="04190003">
      <w:start w:val="1"/>
      <w:numFmt w:val="bullet"/>
      <w:suff w:val="tab"/>
      <w:lvlText w:val="o"/>
      <w:lvlJc w:val="left"/>
      <w:pPr>
        <w:ind w:hanging="360" w:left="5760"/>
      </w:pPr>
      <w:rPr>
        <w:rFonts w:ascii="Courier New" w:hAnsi="Courier New"/>
      </w:rPr>
    </w:lvl>
    <w:lvl w:ilvl="8" w:tplc="04190005">
      <w:start w:val="1"/>
      <w:numFmt w:val="bullet"/>
      <w:suff w:val="tab"/>
      <w:lvlText w:val=""/>
      <w:lvlJc w:val="left"/>
      <w:pPr>
        <w:ind w:hanging="360" w:left="6480"/>
      </w:pPr>
      <w:rPr>
        <w:rFonts w:ascii="Wingdings" w:hAnsi="Wingdings"/>
      </w:rPr>
    </w:lvl>
  </w:abstractNum>
  <w:abstractNum w:abstractNumId="2">
    <w:nsid w:val="421725DC"/>
    <w:multiLevelType w:val="hybridMultilevel"/>
    <w:lvl w:ilvl="0" w:tplc="44BEB5CE">
      <w:start w:val="6"/>
      <w:numFmt w:val="decimal"/>
      <w:suff w:val="tab"/>
      <w:lvlText w:val="%1."/>
      <w:lvlJc w:val="left"/>
      <w:pPr>
        <w:ind w:hanging="360" w:left="1211"/>
      </w:pPr>
      <w:rPr/>
    </w:lvl>
    <w:lvl w:ilvl="1" w:tplc="04220019">
      <w:start w:val="1"/>
      <w:numFmt w:val="lowerLetter"/>
      <w:suff w:val="tab"/>
      <w:lvlText w:val="%2."/>
      <w:lvlJc w:val="left"/>
      <w:pPr>
        <w:ind w:hanging="360" w:left="1931"/>
      </w:pPr>
      <w:rPr/>
    </w:lvl>
    <w:lvl w:ilvl="2" w:tplc="0422001B">
      <w:start w:val="1"/>
      <w:numFmt w:val="lowerRoman"/>
      <w:suff w:val="tab"/>
      <w:lvlText w:val="%3."/>
      <w:lvlJc w:val="right"/>
      <w:pPr>
        <w:ind w:hanging="180" w:left="2651"/>
      </w:pPr>
      <w:rPr/>
    </w:lvl>
    <w:lvl w:ilvl="3" w:tplc="0422000F">
      <w:start w:val="1"/>
      <w:numFmt w:val="decimal"/>
      <w:suff w:val="tab"/>
      <w:lvlText w:val="%4."/>
      <w:lvlJc w:val="left"/>
      <w:pPr>
        <w:ind w:hanging="360" w:left="3371"/>
      </w:pPr>
      <w:rPr/>
    </w:lvl>
    <w:lvl w:ilvl="4" w:tplc="04220019">
      <w:start w:val="1"/>
      <w:numFmt w:val="lowerLetter"/>
      <w:suff w:val="tab"/>
      <w:lvlText w:val="%5."/>
      <w:lvlJc w:val="left"/>
      <w:pPr>
        <w:ind w:hanging="360" w:left="4091"/>
      </w:pPr>
      <w:rPr/>
    </w:lvl>
    <w:lvl w:ilvl="5" w:tplc="0422001B">
      <w:start w:val="1"/>
      <w:numFmt w:val="lowerRoman"/>
      <w:suff w:val="tab"/>
      <w:lvlText w:val="%6."/>
      <w:lvlJc w:val="right"/>
      <w:pPr>
        <w:ind w:hanging="180" w:left="4811"/>
      </w:pPr>
      <w:rPr/>
    </w:lvl>
    <w:lvl w:ilvl="6" w:tplc="0422000F">
      <w:start w:val="1"/>
      <w:numFmt w:val="decimal"/>
      <w:suff w:val="tab"/>
      <w:lvlText w:val="%7."/>
      <w:lvlJc w:val="left"/>
      <w:pPr>
        <w:ind w:hanging="360" w:left="5531"/>
      </w:pPr>
      <w:rPr/>
    </w:lvl>
    <w:lvl w:ilvl="7" w:tplc="04220019">
      <w:start w:val="1"/>
      <w:numFmt w:val="lowerLetter"/>
      <w:suff w:val="tab"/>
      <w:lvlText w:val="%8."/>
      <w:lvlJc w:val="left"/>
      <w:pPr>
        <w:ind w:hanging="360" w:left="6251"/>
      </w:pPr>
      <w:rPr/>
    </w:lvl>
    <w:lvl w:ilvl="8" w:tplc="0422001B">
      <w:start w:val="1"/>
      <w:numFmt w:val="lowerRoman"/>
      <w:suff w:val="tab"/>
      <w:lvlText w:val="%9."/>
      <w:lvlJc w:val="right"/>
      <w:pPr>
        <w:ind w:hanging="180" w:left="6971"/>
      </w:pPr>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sz w:val="22"/>
        <w:szCs w:val="22"/>
        <w:lang w:val="ru-RU" w:bidi="ar-SA" w:eastAsia="ru-RU"/>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Normal (Web)"/>
    <w:basedOn w:val="P0"/>
    <w:pPr>
      <w:spacing w:lineRule="auto" w:line="240" w:before="100" w:after="100" w:beforeAutospacing="1" w:afterAutospacing="1"/>
    </w:pPr>
    <w:rPr>
      <w:rFonts w:ascii="Times New Roman" w:hAnsi="Times New Roman"/>
      <w:sz w:val="24"/>
      <w:szCs w:val="24"/>
      <w:lang w:val="uk-UA" w:eastAsia="uk-UA"/>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trong"/>
    <w:basedOn w:val="C0"/>
    <w:qFormat/>
    <w:rPr>
      <w:b w:val="1"/>
      <w:bCs w:val="1"/>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Сітка таблиці1"/>
    <w:basedOn w:val="T0"/>
    <w:pPr>
      <w:spacing w:lineRule="auto" w:line="240" w:after="0" w:beforeAutospacing="0" w:afterAutospacing="0"/>
    </w:pPr>
    <w:rPr>
      <w:rFonts w:ascii="Calibri" w:hAnsi="Calibri"/>
      <w:lang w:val="uk-UA"/>
    </w:r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API/21.1.3.0</Application>
  <AppVersion>21.1</AppVersion>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Пользователь Windows</dc:creator>
  <dcterms:created xsi:type="dcterms:W3CDTF">2021-03-03T14:03:00Z</dcterms:created>
  <cp:lastModifiedBy>ASKOD</cp:lastModifiedBy>
  <dcterms:modified xsi:type="dcterms:W3CDTF">2023-06-25T17:03:28Z</dcterms:modified>
  <cp:revision>16</cp:revision>
</cp:coreProperties>
</file>