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65" w:rsidRPr="006273F6" w:rsidRDefault="00E71765" w:rsidP="00E71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1765" w:rsidRPr="006273F6" w:rsidRDefault="00E71765" w:rsidP="00E71765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6273F6">
        <w:rPr>
          <w:rFonts w:ascii="Times New Roman" w:hAnsi="Times New Roman" w:cs="Times New Roman"/>
          <w:sz w:val="24"/>
          <w:szCs w:val="24"/>
          <w:lang w:val="uk-UA"/>
        </w:rPr>
        <w:t>Додаток  1</w:t>
      </w:r>
    </w:p>
    <w:p w:rsidR="00E71765" w:rsidRPr="006273F6" w:rsidRDefault="00E71765" w:rsidP="00E71765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273F6">
        <w:rPr>
          <w:rFonts w:ascii="Times New Roman" w:hAnsi="Times New Roman" w:cs="Times New Roman"/>
          <w:sz w:val="24"/>
          <w:szCs w:val="24"/>
          <w:lang w:val="uk-UA"/>
        </w:rPr>
        <w:t>до рішення Броварської міської ради Київської області</w:t>
      </w:r>
    </w:p>
    <w:p w:rsidR="00E71765" w:rsidRPr="006273F6" w:rsidRDefault="00E95F93" w:rsidP="00E71765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 22.05.</w:t>
      </w:r>
      <w:r w:rsidR="00E71765" w:rsidRPr="006273F6">
        <w:rPr>
          <w:rFonts w:ascii="Times New Roman" w:hAnsi="Times New Roman" w:cs="Times New Roman"/>
          <w:color w:val="000000"/>
          <w:sz w:val="24"/>
          <w:szCs w:val="24"/>
          <w:lang w:val="uk-UA"/>
        </w:rPr>
        <w:t>2020 р.</w:t>
      </w:r>
    </w:p>
    <w:p w:rsidR="006273F6" w:rsidRDefault="00E95F93" w:rsidP="00E71765">
      <w:pPr>
        <w:tabs>
          <w:tab w:val="left" w:pos="7800"/>
        </w:tabs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№  1881-75-07</w:t>
      </w:r>
    </w:p>
    <w:p w:rsidR="006273F6" w:rsidRDefault="006273F6" w:rsidP="00E71765">
      <w:pPr>
        <w:tabs>
          <w:tab w:val="left" w:pos="7800"/>
        </w:tabs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71765" w:rsidRPr="006273F6" w:rsidRDefault="00E71765" w:rsidP="00E71765">
      <w:pPr>
        <w:tabs>
          <w:tab w:val="left" w:pos="7800"/>
        </w:tabs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273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:rsidR="00E71765" w:rsidRPr="006273F6" w:rsidRDefault="00E71765" w:rsidP="00E717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6273F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Обсяги фінансування Програми </w:t>
      </w:r>
    </w:p>
    <w:p w:rsidR="00E71765" w:rsidRDefault="006273F6" w:rsidP="006273F6">
      <w:pPr>
        <w:tabs>
          <w:tab w:val="center" w:pos="4677"/>
          <w:tab w:val="left" w:pos="627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E71765" w:rsidRPr="006273F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 загальному фонду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6273F6" w:rsidRDefault="006273F6" w:rsidP="006273F6">
      <w:pPr>
        <w:tabs>
          <w:tab w:val="center" w:pos="4677"/>
          <w:tab w:val="left" w:pos="627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273F6" w:rsidRDefault="006273F6" w:rsidP="006273F6">
      <w:pPr>
        <w:tabs>
          <w:tab w:val="center" w:pos="4677"/>
          <w:tab w:val="left" w:pos="627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273F6" w:rsidRPr="006273F6" w:rsidRDefault="006273F6" w:rsidP="006273F6">
      <w:pPr>
        <w:tabs>
          <w:tab w:val="center" w:pos="4677"/>
          <w:tab w:val="left" w:pos="627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51"/>
        <w:gridCol w:w="6663"/>
        <w:gridCol w:w="1417"/>
        <w:gridCol w:w="1134"/>
      </w:tblGrid>
      <w:tr w:rsidR="00E71765" w:rsidRPr="006273F6" w:rsidTr="007F7779">
        <w:tc>
          <w:tcPr>
            <w:tcW w:w="850" w:type="dxa"/>
            <w:vMerge w:val="restart"/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851" w:type="dxa"/>
            <w:vMerge w:val="restart"/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6663" w:type="dxa"/>
            <w:vMerge w:val="restart"/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417" w:type="dxa"/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Очікувана потреба на 2020 рік (</w:t>
            </w:r>
            <w:proofErr w:type="spellStart"/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 (</w:t>
            </w:r>
            <w:proofErr w:type="spellStart"/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E71765" w:rsidRPr="006273F6" w:rsidTr="007F7779"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1765" w:rsidRPr="006273F6" w:rsidTr="007F7779">
        <w:tc>
          <w:tcPr>
            <w:tcW w:w="850" w:type="dxa"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2610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Субсидії та поточні трансфери підприємствам (установам, організаціям)- асигнування з районного бюджету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1765" w:rsidRPr="006273F6" w:rsidTr="007F7779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Субвенція з державного бюджету, в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113898,31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20684,7</w:t>
            </w:r>
          </w:p>
        </w:tc>
      </w:tr>
      <w:tr w:rsidR="00E71765" w:rsidRPr="006273F6" w:rsidTr="007F7779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заробітну плату з нарахуванням (субвенція)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113898,31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20684,7</w:t>
            </w:r>
          </w:p>
        </w:tc>
      </w:tr>
      <w:tr w:rsidR="00E71765" w:rsidRPr="006273F6" w:rsidTr="007F7779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Кошти з міського бюджету, а саме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140195,14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55574,0</w:t>
            </w:r>
          </w:p>
        </w:tc>
      </w:tr>
      <w:tr w:rsidR="00E71765" w:rsidRPr="006273F6" w:rsidTr="007F7779">
        <w:trPr>
          <w:trHeight w:val="80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(додаткові стимули);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uk-UA"/>
              </w:rPr>
              <w:t xml:space="preserve">на виплату додаткової заробітної плати працівникам, які надають медичну допомогу пацієнтам при захворюванні на корона вірус COVID-19 в сумі 1000,0 </w:t>
            </w:r>
            <w:proofErr w:type="spellStart"/>
            <w:r w:rsidRPr="006273F6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uk-UA"/>
              </w:rPr>
              <w:t>тис.грн</w:t>
            </w:r>
            <w:proofErr w:type="spellEnd"/>
            <w:r w:rsidRPr="006273F6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uk-UA"/>
              </w:rPr>
              <w:t xml:space="preserve">. 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виплату преміальних медичним працівникам до Дня медичного працівника;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оплату комунальних послуг та енергоносіїв;</w:t>
            </w:r>
          </w:p>
          <w:p w:rsidR="00E71765" w:rsidRPr="006273F6" w:rsidRDefault="00E71765" w:rsidP="00E71765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закупівлю лікарських засобів, згідно національного переліку, лікарських засобів, згідно  формуляра на першу добу, медичні матеріали нехімічні та гематологічні одноразового застосування ( шовний матеріал), вироби медичного призначення ( рукавички, зонди, катетери, перев’язувальні матеріали, шприци, системи), кисень медичний, плівка радіографічна медична, плівка лазерна, проявник, фіксаж, спирт, наркотичні та психотропні медикаменти, засоби дезінфікуючі, лабораторні реагенти та витратні матеріали (живильні середовища, </w:t>
            </w:r>
            <w:proofErr w:type="spellStart"/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імуноферментні</w:t>
            </w:r>
            <w:proofErr w:type="spellEnd"/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тест-системи), лабораторний посуд, устаткування та медичне приладдя (медичні меблі, медичний інструментарій, бікси, ємкості, гігрометри, опромінювані, диспансери), вироби медичного призначення для відділення трансфузіології (контейнери для крові, пробірки,</w:t>
            </w:r>
            <w:proofErr w:type="spellStart"/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тест-полоски</w:t>
            </w:r>
            <w:proofErr w:type="spellEnd"/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71765" w:rsidRPr="006273F6" w:rsidRDefault="00E71765" w:rsidP="00E71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765" w:rsidRPr="006273F6" w:rsidRDefault="00E71765" w:rsidP="00E7176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73F6">
        <w:rPr>
          <w:rFonts w:ascii="Times New Roman" w:hAnsi="Times New Roman" w:cs="Times New Roman"/>
          <w:sz w:val="24"/>
          <w:szCs w:val="24"/>
          <w:lang w:val="uk-UA"/>
        </w:rPr>
        <w:lastRenderedPageBreak/>
        <w:t>2  -</w:t>
      </w:r>
    </w:p>
    <w:p w:rsidR="00E71765" w:rsidRPr="006273F6" w:rsidRDefault="00E71765" w:rsidP="00E71765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6273F6">
        <w:rPr>
          <w:rFonts w:ascii="Times New Roman" w:hAnsi="Times New Roman" w:cs="Times New Roman"/>
          <w:sz w:val="24"/>
          <w:szCs w:val="24"/>
          <w:lang w:val="uk-UA"/>
        </w:rPr>
        <w:t>Продовження Додатку 1</w:t>
      </w:r>
    </w:p>
    <w:p w:rsidR="00E71765" w:rsidRPr="006273F6" w:rsidRDefault="00E71765" w:rsidP="00E71765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0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09"/>
        <w:gridCol w:w="6663"/>
        <w:gridCol w:w="1559"/>
        <w:gridCol w:w="1243"/>
      </w:tblGrid>
      <w:tr w:rsidR="00E71765" w:rsidRPr="006273F6" w:rsidTr="007F777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закупівлю продуктів харчування;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предмети, матеріали, обладнання та інвентар (бензин, миючі засоби, порошок ст., електротовари, товари для будівельного ремонту, сантехніка, господарський інвентар,бланки та ін.);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послуги (крім комунальних), в тому числі: послуги з охорони, ремонт та техобслуговування медичного та іншого обладнання, вивіз побутових, медичних та біологічних відходів, та інше;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медичні послуги (діагностичні, лабораторні, рентгенологічні) за направленням від первинної ланки жителів м. Бровари;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відрядження;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(навчання,з сертифікатом відповідно до Правил безпеки)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виплату пенсій і допомоги.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послуги щодо проведення системи пожежної сигналізації 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потреби протипожежних заходів(закупити нові вогнегасники, перезарядка вогнегасників, пожежні рукави та стволи, пожежний щит  закритого типу, стенди, плани евакуації при пожежі)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лікарські засоби та засоби індивідуального захисту на випадок захворювання,викликаного корона вірусом 2019-nCOV в сумі 3090,0 </w:t>
            </w:r>
            <w:proofErr w:type="spellStart"/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71765" w:rsidRPr="006273F6" w:rsidRDefault="00E71765" w:rsidP="00E71765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bCs/>
                <w:color w:val="000000"/>
                <w:spacing w:val="1"/>
                <w:lang w:val="uk-UA"/>
              </w:rPr>
            </w:pPr>
            <w:r w:rsidRPr="006273F6">
              <w:rPr>
                <w:b/>
                <w:lang w:val="uk-UA"/>
              </w:rPr>
              <w:t xml:space="preserve">на послуги із санітарно-гігієнічної обробки приміщень та території центру «Дитяча лікарня» КНП «Броварська БКЛ» БРР </w:t>
            </w:r>
            <w:proofErr w:type="spellStart"/>
            <w:r w:rsidRPr="006273F6">
              <w:rPr>
                <w:b/>
                <w:lang w:val="uk-UA"/>
              </w:rPr>
              <w:t>БМР</w:t>
            </w:r>
            <w:proofErr w:type="spellEnd"/>
            <w:r w:rsidRPr="006273F6">
              <w:rPr>
                <w:b/>
                <w:lang w:val="uk-UA"/>
              </w:rPr>
              <w:t xml:space="preserve"> на травень 2020 року, спрямовані на запобігання виникненню та поширенню, локалізацію та ліквідацію спалахів, епідемій та </w:t>
            </w:r>
            <w:proofErr w:type="spellStart"/>
            <w:r w:rsidRPr="006273F6">
              <w:rPr>
                <w:b/>
                <w:lang w:val="uk-UA"/>
              </w:rPr>
              <w:t>пандемій</w:t>
            </w:r>
            <w:proofErr w:type="spellEnd"/>
            <w:r w:rsidRPr="006273F6">
              <w:rPr>
                <w:b/>
                <w:lang w:val="uk-UA"/>
              </w:rPr>
              <w:t xml:space="preserve"> корона вірусної хвороби (</w:t>
            </w:r>
            <w:r w:rsidRPr="006273F6">
              <w:rPr>
                <w:b/>
                <w:lang w:val="en-US"/>
              </w:rPr>
              <w:t>COVID</w:t>
            </w:r>
            <w:r w:rsidRPr="006273F6">
              <w:rPr>
                <w:b/>
                <w:lang w:val="uk-UA"/>
              </w:rPr>
              <w:t xml:space="preserve">-19)- 219,0 </w:t>
            </w:r>
            <w:proofErr w:type="spellStart"/>
            <w:r w:rsidRPr="006273F6">
              <w:rPr>
                <w:b/>
                <w:lang w:val="uk-UA"/>
              </w:rPr>
              <w:t>тис.грн</w:t>
            </w:r>
            <w:proofErr w:type="spellEnd"/>
            <w:r w:rsidRPr="006273F6">
              <w:rPr>
                <w:b/>
                <w:lang w:val="uk-UA"/>
              </w:rPr>
              <w:t xml:space="preserve">. </w:t>
            </w:r>
          </w:p>
          <w:p w:rsidR="00E71765" w:rsidRPr="006273F6" w:rsidRDefault="00E71765" w:rsidP="00E717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1765" w:rsidRPr="006273F6" w:rsidTr="007F777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254093,45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E71765" w:rsidRPr="006273F6" w:rsidRDefault="00E71765" w:rsidP="00E71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3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76258,7</w:t>
            </w:r>
          </w:p>
        </w:tc>
      </w:tr>
    </w:tbl>
    <w:p w:rsidR="00E71765" w:rsidRPr="006273F6" w:rsidRDefault="00E71765" w:rsidP="00E71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765" w:rsidRPr="006273F6" w:rsidRDefault="00E71765" w:rsidP="00E71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1765" w:rsidRPr="006273F6" w:rsidRDefault="006273F6" w:rsidP="00E71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Ігор </w:t>
      </w:r>
      <w:r w:rsidR="00E71765" w:rsidRPr="006273F6">
        <w:rPr>
          <w:rFonts w:ascii="Times New Roman" w:hAnsi="Times New Roman" w:cs="Times New Roman"/>
          <w:sz w:val="24"/>
          <w:szCs w:val="24"/>
          <w:lang w:val="uk-UA"/>
        </w:rPr>
        <w:t xml:space="preserve"> САПОЖКО</w:t>
      </w:r>
    </w:p>
    <w:p w:rsidR="00E71765" w:rsidRPr="006273F6" w:rsidRDefault="00E71765" w:rsidP="00E71765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</w:p>
    <w:p w:rsidR="00E71765" w:rsidRPr="006273F6" w:rsidRDefault="00E71765" w:rsidP="00E71765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</w:p>
    <w:p w:rsidR="004952B4" w:rsidRPr="006273F6" w:rsidRDefault="004952B4" w:rsidP="00E71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52B4" w:rsidRPr="006273F6" w:rsidSect="006273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BB5"/>
    <w:multiLevelType w:val="hybridMultilevel"/>
    <w:tmpl w:val="14CAD386"/>
    <w:lvl w:ilvl="0" w:tplc="4A98157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D44F9"/>
    <w:multiLevelType w:val="hybridMultilevel"/>
    <w:tmpl w:val="AD6ECB9E"/>
    <w:lvl w:ilvl="0" w:tplc="D828F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765"/>
    <w:rsid w:val="004952B4"/>
    <w:rsid w:val="006273F6"/>
    <w:rsid w:val="00E71765"/>
    <w:rsid w:val="00E9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4</cp:revision>
  <dcterms:created xsi:type="dcterms:W3CDTF">2020-05-25T05:23:00Z</dcterms:created>
  <dcterms:modified xsi:type="dcterms:W3CDTF">2020-05-25T05:30:00Z</dcterms:modified>
</cp:coreProperties>
</file>